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DC4A10">
      <w:pPr>
        <w:snapToGrid w:val="0"/>
        <w:spacing w:line="360" w:lineRule="auto"/>
        <w:jc w:val="center"/>
        <w:rPr>
          <w:rFonts w:hint="default" w:ascii="仿宋_GB2312" w:hAnsi="仿宋_GB2312" w:eastAsia="仿宋_GB2312" w:cs="仿宋_GB2312"/>
          <w:b/>
          <w:bCs/>
          <w:color w:val="auto"/>
          <w:sz w:val="48"/>
          <w:szCs w:val="48"/>
          <w:lang w:val="en-US" w:eastAsia="zh-CN"/>
        </w:rPr>
      </w:pPr>
      <w:r>
        <w:rPr>
          <w:rFonts w:hint="eastAsia" w:ascii="仿宋_GB2312" w:hAnsi="仿宋_GB2312" w:eastAsia="仿宋_GB2312" w:cs="仿宋_GB2312"/>
          <w:b/>
          <w:bCs/>
          <w:color w:val="auto"/>
          <w:sz w:val="48"/>
          <w:szCs w:val="48"/>
          <w:lang w:val="en-US" w:eastAsia="zh-CN"/>
        </w:rPr>
        <w:t>招标公告</w:t>
      </w:r>
      <w:bookmarkStart w:id="6" w:name="_GoBack"/>
      <w:bookmarkEnd w:id="6"/>
    </w:p>
    <w:p w14:paraId="153BBC10">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国信招标集团股份有限公司（以下简称“采购代理机构”）受全国学生资助管理中心（以下简称“采购人”）委托，就</w:t>
      </w:r>
      <w:r>
        <w:rPr>
          <w:rFonts w:hint="eastAsia" w:ascii="仿宋_GB2312" w:hAnsi="仿宋_GB2312" w:eastAsia="仿宋_GB2312" w:cs="仿宋_GB2312"/>
          <w:color w:val="auto"/>
          <w:u w:val="single"/>
        </w:rPr>
        <w:t>医学教育专业认证项目</w:t>
      </w:r>
      <w:r>
        <w:rPr>
          <w:rFonts w:hint="eastAsia" w:ascii="仿宋_GB2312" w:hAnsi="仿宋_GB2312" w:eastAsia="仿宋_GB2312" w:cs="仿宋_GB2312"/>
          <w:color w:val="auto"/>
        </w:rPr>
        <w:t>的服务进行国内公开招标，现邀请合格投标人提交密封投标。</w:t>
      </w:r>
    </w:p>
    <w:p w14:paraId="2FAA6B35">
      <w:pPr>
        <w:snapToGrid w:val="0"/>
        <w:spacing w:line="400" w:lineRule="exact"/>
        <w:ind w:firstLine="482" w:firstLineChars="200"/>
        <w:rPr>
          <w:rFonts w:ascii="仿宋_GB2312" w:hAnsi="仿宋_GB2312" w:eastAsia="仿宋_GB2312" w:cs="仿宋_GB2312"/>
          <w:color w:val="auto"/>
          <w:u w:val="single"/>
        </w:rPr>
      </w:pPr>
      <w:r>
        <w:rPr>
          <w:rFonts w:hint="eastAsia" w:ascii="仿宋_GB2312" w:hAnsi="仿宋_GB2312" w:eastAsia="仿宋_GB2312" w:cs="仿宋_GB2312"/>
          <w:b/>
          <w:bCs/>
          <w:color w:val="auto"/>
        </w:rPr>
        <w:t>一、项目编号</w:t>
      </w:r>
      <w:r>
        <w:rPr>
          <w:rFonts w:hint="eastAsia" w:ascii="仿宋_GB2312" w:hAnsi="仿宋_GB2312" w:eastAsia="仿宋_GB2312" w:cs="仿宋_GB2312"/>
          <w:color w:val="auto"/>
        </w:rPr>
        <w:t>：</w:t>
      </w:r>
      <w:r>
        <w:rPr>
          <w:rFonts w:hint="eastAsia" w:ascii="仿宋_GB2312" w:hAnsi="仿宋_GB2312" w:eastAsia="仿宋_GB2312" w:cs="仿宋_GB2312"/>
          <w:i w:val="0"/>
          <w:iCs w:val="0"/>
          <w:caps w:val="0"/>
          <w:color w:val="auto"/>
          <w:spacing w:val="0"/>
          <w:sz w:val="24"/>
          <w:szCs w:val="24"/>
          <w:shd w:val="clear"/>
        </w:rPr>
        <w:t>GXTC-C-26870042</w:t>
      </w:r>
    </w:p>
    <w:p w14:paraId="37DFAF57">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二、项目名称：</w:t>
      </w:r>
      <w:r>
        <w:rPr>
          <w:rFonts w:hint="eastAsia" w:ascii="仿宋_GB2312" w:hAnsi="仿宋_GB2312" w:eastAsia="仿宋_GB2312" w:cs="仿宋_GB2312"/>
          <w:color w:val="auto"/>
        </w:rPr>
        <w:t>医学教育专业认证项目</w:t>
      </w:r>
    </w:p>
    <w:p w14:paraId="1B566357">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三、采购预算：5</w:t>
      </w:r>
      <w:r>
        <w:rPr>
          <w:rFonts w:ascii="仿宋_GB2312" w:hAnsi="仿宋_GB2312" w:eastAsia="仿宋_GB2312" w:cs="仿宋_GB2312"/>
          <w:b/>
          <w:bCs/>
          <w:color w:val="auto"/>
        </w:rPr>
        <w:t>200000</w:t>
      </w:r>
      <w:r>
        <w:rPr>
          <w:rFonts w:hint="eastAsia" w:ascii="仿宋_GB2312" w:hAnsi="仿宋_GB2312" w:eastAsia="仿宋_GB2312" w:cs="仿宋_GB2312"/>
          <w:b/>
          <w:bCs/>
          <w:color w:val="auto"/>
        </w:rPr>
        <w:t>元人民币</w:t>
      </w:r>
    </w:p>
    <w:p w14:paraId="5C2DC610">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四、最高限价：5</w:t>
      </w:r>
      <w:r>
        <w:rPr>
          <w:rFonts w:ascii="仿宋_GB2312" w:hAnsi="仿宋_GB2312" w:eastAsia="仿宋_GB2312" w:cs="仿宋_GB2312"/>
          <w:b/>
          <w:bCs/>
          <w:color w:val="auto"/>
        </w:rPr>
        <w:t>200000</w:t>
      </w:r>
      <w:r>
        <w:rPr>
          <w:rFonts w:hint="eastAsia" w:ascii="仿宋_GB2312" w:hAnsi="仿宋_GB2312" w:eastAsia="仿宋_GB2312" w:cs="仿宋_GB2312"/>
          <w:b/>
          <w:bCs/>
          <w:color w:val="auto"/>
        </w:rPr>
        <w:t>元人民币</w:t>
      </w:r>
    </w:p>
    <w:p w14:paraId="63143C43">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五、招标内容</w:t>
      </w:r>
    </w:p>
    <w:p w14:paraId="1A58B820">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1.本次招标共</w:t>
      </w:r>
      <w:r>
        <w:rPr>
          <w:rFonts w:ascii="仿宋_GB2312" w:hAnsi="仿宋_GB2312" w:eastAsia="仿宋_GB2312" w:cs="仿宋_GB2312"/>
          <w:color w:val="auto"/>
        </w:rPr>
        <w:t>1</w:t>
      </w:r>
      <w:r>
        <w:rPr>
          <w:rFonts w:hint="eastAsia" w:ascii="仿宋_GB2312" w:hAnsi="仿宋_GB2312" w:eastAsia="仿宋_GB2312" w:cs="仿宋_GB2312"/>
          <w:color w:val="auto"/>
        </w:rPr>
        <w:t>个采购包：</w:t>
      </w:r>
    </w:p>
    <w:tbl>
      <w:tblPr>
        <w:tblStyle w:val="3"/>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59"/>
        <w:gridCol w:w="727"/>
        <w:gridCol w:w="2533"/>
        <w:gridCol w:w="3783"/>
      </w:tblGrid>
      <w:tr w14:paraId="75D6F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589C58AC">
            <w:pPr>
              <w:snapToGrid w:val="0"/>
              <w:spacing w:line="4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包号</w:t>
            </w:r>
          </w:p>
        </w:tc>
        <w:tc>
          <w:tcPr>
            <w:tcW w:w="1559" w:type="dxa"/>
            <w:vAlign w:val="center"/>
          </w:tcPr>
          <w:p w14:paraId="0102AF68">
            <w:pPr>
              <w:snapToGrid w:val="0"/>
              <w:spacing w:line="4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名称</w:t>
            </w:r>
          </w:p>
        </w:tc>
        <w:tc>
          <w:tcPr>
            <w:tcW w:w="727" w:type="dxa"/>
            <w:vAlign w:val="center"/>
          </w:tcPr>
          <w:p w14:paraId="5F0FD1FE">
            <w:pPr>
              <w:snapToGrid w:val="0"/>
              <w:spacing w:line="4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数量</w:t>
            </w:r>
          </w:p>
        </w:tc>
        <w:tc>
          <w:tcPr>
            <w:tcW w:w="2533" w:type="dxa"/>
            <w:vAlign w:val="center"/>
          </w:tcPr>
          <w:p w14:paraId="7CF7D35D">
            <w:pPr>
              <w:snapToGrid w:val="0"/>
              <w:spacing w:line="4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简要技术需求</w:t>
            </w:r>
          </w:p>
        </w:tc>
        <w:tc>
          <w:tcPr>
            <w:tcW w:w="3783" w:type="dxa"/>
            <w:vAlign w:val="center"/>
          </w:tcPr>
          <w:p w14:paraId="4A749723">
            <w:pPr>
              <w:snapToGrid w:val="0"/>
              <w:spacing w:line="4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合同履行期限</w:t>
            </w:r>
          </w:p>
        </w:tc>
      </w:tr>
      <w:tr w14:paraId="04CF9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09" w:type="dxa"/>
            <w:vAlign w:val="center"/>
          </w:tcPr>
          <w:p w14:paraId="532A962B">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0</w:t>
            </w:r>
            <w:r>
              <w:rPr>
                <w:rFonts w:ascii="仿宋_GB2312" w:hAnsi="仿宋_GB2312" w:eastAsia="仿宋_GB2312" w:cs="仿宋_GB2312"/>
                <w:color w:val="auto"/>
              </w:rPr>
              <w:t>1</w:t>
            </w:r>
          </w:p>
        </w:tc>
        <w:tc>
          <w:tcPr>
            <w:tcW w:w="1559" w:type="dxa"/>
            <w:vAlign w:val="center"/>
          </w:tcPr>
          <w:p w14:paraId="23CFE0D7">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医学教育专业认证项目</w:t>
            </w:r>
          </w:p>
        </w:tc>
        <w:tc>
          <w:tcPr>
            <w:tcW w:w="727" w:type="dxa"/>
            <w:vAlign w:val="center"/>
          </w:tcPr>
          <w:p w14:paraId="78F15D30">
            <w:pPr>
              <w:snapToGrid w:val="0"/>
              <w:spacing w:line="400" w:lineRule="exact"/>
              <w:jc w:val="center"/>
              <w:rPr>
                <w:rFonts w:ascii="仿宋_GB2312" w:hAnsi="仿宋_GB2312" w:eastAsia="仿宋_GB2312" w:cs="仿宋_GB2312"/>
                <w:color w:val="auto"/>
              </w:rPr>
            </w:pPr>
            <w:r>
              <w:rPr>
                <w:rFonts w:ascii="仿宋_GB2312" w:hAnsi="仿宋_GB2312" w:eastAsia="仿宋_GB2312" w:cs="仿宋_GB2312"/>
                <w:color w:val="auto"/>
              </w:rPr>
              <w:t>0</w:t>
            </w:r>
            <w:r>
              <w:rPr>
                <w:rFonts w:hint="eastAsia" w:ascii="仿宋_GB2312" w:hAnsi="仿宋_GB2312" w:eastAsia="仿宋_GB2312" w:cs="仿宋_GB2312"/>
                <w:color w:val="auto"/>
              </w:rPr>
              <w:t>1</w:t>
            </w:r>
          </w:p>
        </w:tc>
        <w:tc>
          <w:tcPr>
            <w:tcW w:w="2533" w:type="dxa"/>
            <w:vAlign w:val="center"/>
          </w:tcPr>
          <w:p w14:paraId="5E90E668">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详见招标文件第三章“采购需求”</w:t>
            </w:r>
          </w:p>
        </w:tc>
        <w:tc>
          <w:tcPr>
            <w:tcW w:w="3783" w:type="dxa"/>
            <w:vAlign w:val="center"/>
          </w:tcPr>
          <w:p w14:paraId="1112A0C9">
            <w:pPr>
              <w:pStyle w:val="2"/>
              <w:spacing w:line="400" w:lineRule="exact"/>
              <w:ind w:firstLine="0"/>
              <w:rPr>
                <w:rFonts w:hint="eastAsia" w:ascii="仿宋_GB2312" w:eastAsia="仿宋_GB2312" w:cs="Calibri"/>
                <w:color w:val="auto"/>
                <w:szCs w:val="24"/>
              </w:rPr>
            </w:pPr>
            <w:r>
              <w:rPr>
                <w:rFonts w:hint="eastAsia" w:ascii="仿宋_GB2312" w:eastAsia="仿宋_GB2312"/>
                <w:color w:val="auto"/>
                <w:lang w:val="en-US" w:eastAsia="zh-CN"/>
              </w:rPr>
              <w:t>自</w:t>
            </w:r>
            <w:r>
              <w:rPr>
                <w:rFonts w:hint="eastAsia" w:ascii="仿宋_GB2312" w:eastAsia="仿宋_GB2312"/>
                <w:color w:val="auto"/>
              </w:rPr>
              <w:t>签订合同之日起</w:t>
            </w:r>
            <w:r>
              <w:rPr>
                <w:rFonts w:hint="eastAsia" w:ascii="仿宋_GB2312" w:eastAsia="仿宋_GB2312"/>
                <w:color w:val="auto"/>
                <w:highlight w:val="none"/>
              </w:rPr>
              <w:t>1年</w:t>
            </w:r>
            <w:r>
              <w:rPr>
                <w:rFonts w:hint="eastAsia" w:ascii="仿宋_GB2312" w:eastAsia="仿宋_GB2312"/>
                <w:color w:val="auto"/>
                <w:highlight w:val="none"/>
                <w:lang w:val="en-US" w:eastAsia="zh-CN"/>
              </w:rPr>
              <w:t>内</w:t>
            </w:r>
            <w:r>
              <w:rPr>
                <w:rFonts w:hint="eastAsia" w:ascii="仿宋_GB2312" w:eastAsia="仿宋_GB2312" w:cs="Calibri"/>
                <w:color w:val="auto"/>
                <w:szCs w:val="24"/>
                <w:highlight w:val="none"/>
              </w:rPr>
              <w:t>。</w:t>
            </w:r>
          </w:p>
          <w:p w14:paraId="3ED1E227">
            <w:pPr>
              <w:pStyle w:val="2"/>
              <w:spacing w:line="400" w:lineRule="exact"/>
              <w:ind w:firstLine="0"/>
              <w:rPr>
                <w:color w:val="auto"/>
              </w:rPr>
            </w:pPr>
            <w:r>
              <w:rPr>
                <w:rFonts w:hint="eastAsia" w:ascii="仿宋_GB2312" w:eastAsia="仿宋_GB2312" w:cs="Calibri"/>
                <w:color w:val="auto"/>
                <w:szCs w:val="24"/>
              </w:rPr>
              <w:t>注：合同到期后，在预算保障的情况下，经最终用户评估通过后，续签下一年度合同。合同续签不得超过两次。</w:t>
            </w:r>
          </w:p>
        </w:tc>
      </w:tr>
    </w:tbl>
    <w:p w14:paraId="2BC813F3">
      <w:pPr>
        <w:pStyle w:val="5"/>
        <w:adjustRightInd w:val="0"/>
        <w:snapToGrid w:val="0"/>
        <w:spacing w:before="0" w:after="0" w:line="400" w:lineRule="exact"/>
        <w:ind w:firstLine="417" w:firstLineChars="174"/>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本次招标、投标、评标均以采购包（简称“包”）为单位，投标人须以包为单位进行投标，如有多包，可投一包或多包，但不得拆包，不完整的投标将被拒绝。</w:t>
      </w:r>
    </w:p>
    <w:p w14:paraId="35B2152A">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2.招标内容及用途：</w:t>
      </w:r>
      <w:r>
        <w:rPr>
          <w:rFonts w:hint="eastAsia" w:ascii="仿宋_GB2312" w:eastAsia="仿宋_GB2312"/>
          <w:color w:val="auto"/>
          <w:kern w:val="0"/>
          <w:sz w:val="24"/>
          <w:szCs w:val="24"/>
        </w:rPr>
        <w:t>目标：对全国普通高等学校医学类专业实施认证；要求：按时完成医学教育专业认证工作、加强专业认证工作基础能力建设、开展医学教育质量监测研究等工作</w:t>
      </w:r>
      <w:r>
        <w:rPr>
          <w:rFonts w:hint="eastAsia" w:ascii="仿宋_GB2312" w:hAnsi="仿宋_GB2312" w:eastAsia="仿宋_GB2312" w:cs="仿宋_GB2312"/>
          <w:color w:val="auto"/>
          <w:kern w:val="0"/>
          <w:sz w:val="24"/>
          <w:szCs w:val="24"/>
          <w:lang w:val="en-US"/>
        </w:rPr>
        <w:t>。</w:t>
      </w:r>
    </w:p>
    <w:p w14:paraId="0BE2B577">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具体招标内容和要求，以本招标文件中商务、技术和服务的相应规定为准。</w:t>
      </w:r>
    </w:p>
    <w:p w14:paraId="13585B78">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3.需要落实的政府采购政策：</w:t>
      </w:r>
    </w:p>
    <w:p w14:paraId="3FB9B7C7">
      <w:pPr>
        <w:pStyle w:val="5"/>
        <w:adjustRightInd w:val="0"/>
        <w:snapToGrid w:val="0"/>
        <w:spacing w:before="0" w:after="0" w:line="400" w:lineRule="exact"/>
        <w:ind w:firstLine="480"/>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（1）促进中小企业发展政策</w:t>
      </w:r>
    </w:p>
    <w:p w14:paraId="52CC1513">
      <w:pPr>
        <w:pStyle w:val="5"/>
        <w:adjustRightInd w:val="0"/>
        <w:snapToGrid w:val="0"/>
        <w:spacing w:before="0" w:after="0" w:line="400" w:lineRule="exact"/>
        <w:ind w:firstLine="480"/>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本次招标是否为预留份额专门面向中小企业采购的采购项目：</w:t>
      </w:r>
      <w:r>
        <w:rPr>
          <w:rFonts w:hint="eastAsia" w:ascii="仿宋_GB2312" w:hAnsi="仿宋_GB2312" w:eastAsia="仿宋_GB2312" w:cs="仿宋_GB2312"/>
          <w:color w:val="auto"/>
          <w:u w:val="single"/>
        </w:rPr>
        <w:t>否</w:t>
      </w:r>
    </w:p>
    <w:p w14:paraId="7A515430">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sz w:val="24"/>
          <w:szCs w:val="24"/>
        </w:rPr>
        <w:t>若本项目为未预留份额、非专门面向中小企业采购的采购项目，以及预留份额项目中的非预留部分采购包的，</w:t>
      </w:r>
      <w:r>
        <w:rPr>
          <w:rFonts w:hint="eastAsia" w:ascii="仿宋_GB2312" w:hAnsi="仿宋_GB2312" w:eastAsia="仿宋_GB2312" w:cs="仿宋_GB2312"/>
          <w:color w:val="auto"/>
          <w:kern w:val="0"/>
          <w:sz w:val="24"/>
          <w:szCs w:val="24"/>
          <w:lang w:val="en-US"/>
        </w:rPr>
        <w:t>评审时小型和微型企业服务享受10%-20%的价格折扣。监狱企业和残疾人福利性单位视同小型、微型企业。若投标人为</w:t>
      </w:r>
      <w:r>
        <w:rPr>
          <w:rFonts w:hint="eastAsia" w:ascii="仿宋_GB2312" w:hAnsi="仿宋_GB2312" w:eastAsia="仿宋_GB2312" w:cs="仿宋_GB2312"/>
          <w:color w:val="auto"/>
          <w:sz w:val="24"/>
          <w:szCs w:val="24"/>
          <w:lang w:val="en-US"/>
        </w:rPr>
        <w:t>大中型企业与小微企业组成联合体或者大中型企业向一家或者多家小微企业分包的</w:t>
      </w:r>
      <w:r>
        <w:rPr>
          <w:rFonts w:hint="eastAsia" w:ascii="仿宋_GB2312" w:hAnsi="仿宋_GB2312" w:eastAsia="仿宋_GB2312" w:cs="仿宋_GB2312"/>
          <w:color w:val="auto"/>
          <w:kern w:val="0"/>
          <w:sz w:val="24"/>
          <w:szCs w:val="24"/>
          <w:lang w:val="en-US"/>
        </w:rPr>
        <w:t>，联合协议</w:t>
      </w:r>
      <w:r>
        <w:rPr>
          <w:rFonts w:hint="eastAsia" w:ascii="仿宋_GB2312" w:hAnsi="仿宋_GB2312" w:eastAsia="仿宋_GB2312" w:cs="仿宋_GB2312"/>
          <w:color w:val="auto"/>
          <w:sz w:val="24"/>
          <w:szCs w:val="24"/>
          <w:lang w:val="en-US"/>
        </w:rPr>
        <w:t>或者分包意向协议</w:t>
      </w:r>
      <w:r>
        <w:rPr>
          <w:rFonts w:hint="eastAsia" w:ascii="仿宋_GB2312" w:hAnsi="仿宋_GB2312" w:eastAsia="仿宋_GB2312" w:cs="仿宋_GB2312"/>
          <w:color w:val="auto"/>
          <w:kern w:val="0"/>
          <w:sz w:val="24"/>
          <w:szCs w:val="24"/>
          <w:lang w:val="en-US"/>
        </w:rPr>
        <w:t>约定，</w:t>
      </w:r>
      <w:r>
        <w:rPr>
          <w:rFonts w:hint="eastAsia" w:ascii="仿宋_GB2312" w:hAnsi="仿宋_GB2312" w:eastAsia="仿宋_GB2312" w:cs="仿宋_GB2312"/>
          <w:color w:val="auto"/>
          <w:sz w:val="24"/>
          <w:szCs w:val="24"/>
          <w:lang w:val="en-US"/>
        </w:rPr>
        <w:t>小微企业的合同份额占到</w:t>
      </w:r>
      <w:r>
        <w:rPr>
          <w:rFonts w:hint="eastAsia" w:ascii="仿宋_GB2312" w:hAnsi="仿宋_GB2312" w:eastAsia="仿宋_GB2312" w:cs="仿宋_GB2312"/>
          <w:color w:val="auto"/>
          <w:kern w:val="0"/>
          <w:sz w:val="24"/>
          <w:szCs w:val="24"/>
          <w:lang w:val="en-US"/>
        </w:rPr>
        <w:t>合同总金额30%以上的，可给予该投标人4%-6%的价格扣除。本项目具体扣除价格百分比详见</w:t>
      </w:r>
      <w:r>
        <w:rPr>
          <w:rFonts w:hint="eastAsia" w:ascii="仿宋_GB2312" w:hAnsi="仿宋_GB2312" w:eastAsia="仿宋_GB2312" w:cs="仿宋_GB2312"/>
          <w:b/>
          <w:color w:val="auto"/>
          <w:kern w:val="0"/>
          <w:sz w:val="24"/>
          <w:szCs w:val="24"/>
          <w:lang w:val="en-US"/>
        </w:rPr>
        <w:t>第四章评标方法和评标标准</w:t>
      </w:r>
      <w:r>
        <w:rPr>
          <w:rFonts w:hint="eastAsia" w:ascii="仿宋_GB2312" w:hAnsi="仿宋_GB2312" w:eastAsia="仿宋_GB2312" w:cs="仿宋_GB2312"/>
          <w:color w:val="auto"/>
          <w:kern w:val="0"/>
          <w:sz w:val="24"/>
          <w:szCs w:val="24"/>
          <w:lang w:val="en-US"/>
        </w:rPr>
        <w:t>。</w:t>
      </w:r>
    </w:p>
    <w:p w14:paraId="30EB0E66">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六、投标人的资格要求</w:t>
      </w:r>
    </w:p>
    <w:p w14:paraId="44942F87">
      <w:pPr>
        <w:pStyle w:val="5"/>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1.在中华人民共和国境内注册登记，有生产或供应能力的本国供应商，包括法人、</w:t>
      </w:r>
      <w:r>
        <w:rPr>
          <w:rFonts w:hint="eastAsia" w:ascii="仿宋_GB2312" w:hAnsi="仿宋_GB2312" w:eastAsia="仿宋_GB2312" w:cs="仿宋_GB2312"/>
          <w:color w:val="auto"/>
          <w:sz w:val="24"/>
          <w:szCs w:val="24"/>
          <w:lang w:val="en-US"/>
        </w:rPr>
        <w:t>非法人</w:t>
      </w:r>
      <w:r>
        <w:rPr>
          <w:rFonts w:hint="eastAsia" w:ascii="仿宋_GB2312" w:hAnsi="仿宋_GB2312" w:eastAsia="仿宋_GB2312" w:cs="仿宋_GB2312"/>
          <w:color w:val="auto"/>
          <w:sz w:val="24"/>
          <w:szCs w:val="24"/>
        </w:rPr>
        <w:t>组织和</w:t>
      </w:r>
      <w:r>
        <w:rPr>
          <w:rFonts w:hint="eastAsia" w:ascii="仿宋_GB2312" w:hAnsi="仿宋_GB2312" w:eastAsia="仿宋_GB2312" w:cs="仿宋_GB2312"/>
          <w:color w:val="auto"/>
          <w:sz w:val="24"/>
          <w:szCs w:val="24"/>
          <w:lang w:val="en-US"/>
        </w:rPr>
        <w:t>自然</w:t>
      </w:r>
      <w:r>
        <w:rPr>
          <w:rFonts w:hint="eastAsia" w:ascii="仿宋_GB2312" w:hAnsi="仿宋_GB2312" w:eastAsia="仿宋_GB2312" w:cs="仿宋_GB2312"/>
          <w:color w:val="auto"/>
          <w:sz w:val="24"/>
          <w:szCs w:val="24"/>
        </w:rPr>
        <w:t>人。</w:t>
      </w:r>
    </w:p>
    <w:p w14:paraId="03F02B08">
      <w:pPr>
        <w:pStyle w:val="5"/>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2.投标人应遵守《中华人民共和国政府采购法》《中华人民共和国政府采购法实施条例》等法律法规，并符合本招标文件规定的条件。</w:t>
      </w:r>
    </w:p>
    <w:p w14:paraId="2FAF9558">
      <w:pPr>
        <w:pStyle w:val="5"/>
        <w:adjustRightInd w:val="0"/>
        <w:snapToGrid w:val="0"/>
        <w:spacing w:before="0" w:after="0" w:line="400" w:lineRule="exact"/>
        <w:ind w:firstLine="480"/>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（1）具有</w:t>
      </w:r>
      <w:r>
        <w:rPr>
          <w:rFonts w:hint="eastAsia" w:ascii="仿宋_GB2312" w:hAnsi="仿宋_GB2312" w:eastAsia="仿宋_GB2312" w:cs="仿宋_GB2312"/>
          <w:color w:val="auto"/>
          <w:kern w:val="0"/>
          <w:sz w:val="24"/>
          <w:szCs w:val="24"/>
          <w:lang w:val="en-US"/>
        </w:rPr>
        <w:t>独立</w:t>
      </w:r>
      <w:r>
        <w:rPr>
          <w:rFonts w:hint="eastAsia" w:ascii="仿宋_GB2312" w:hAnsi="仿宋_GB2312" w:eastAsia="仿宋_GB2312" w:cs="仿宋_GB2312"/>
          <w:color w:val="auto"/>
          <w:sz w:val="24"/>
          <w:szCs w:val="24"/>
          <w:lang w:val="en-US"/>
        </w:rPr>
        <w:t>承担民事责任的能力；</w:t>
      </w:r>
    </w:p>
    <w:p w14:paraId="7E0116B9">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（2）具有良好的商业信誉和健全的财务会计制度；</w:t>
      </w:r>
    </w:p>
    <w:p w14:paraId="0AD1BB89">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（3）具有履行合同所必需的设备和专业技术能力；</w:t>
      </w:r>
    </w:p>
    <w:p w14:paraId="2B1421DB">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（4）具有依法缴纳税收和社会保障资金的良好记录；</w:t>
      </w:r>
    </w:p>
    <w:p w14:paraId="3E63930B">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（5）参加此项采购活动前三年内，在经营活动中没有重大违法记录；</w:t>
      </w:r>
    </w:p>
    <w:p w14:paraId="0D0CE796">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（6）本项目投标截止期前被“信用中国”网站列入“失信被执行人”和“</w:t>
      </w:r>
      <w:bookmarkStart w:id="0" w:name="OLE_LINK8"/>
      <w:r>
        <w:rPr>
          <w:rFonts w:hint="eastAsia" w:ascii="仿宋_GB2312" w:hAnsi="仿宋_GB2312" w:eastAsia="仿宋_GB2312" w:cs="仿宋_GB2312"/>
          <w:color w:val="auto"/>
          <w:kern w:val="0"/>
          <w:sz w:val="24"/>
          <w:szCs w:val="24"/>
          <w:lang w:val="en-US"/>
        </w:rPr>
        <w:t>重大税收违法失信主体</w:t>
      </w:r>
      <w:bookmarkEnd w:id="0"/>
      <w:r>
        <w:rPr>
          <w:rFonts w:hint="eastAsia" w:ascii="仿宋_GB2312" w:hAnsi="仿宋_GB2312" w:eastAsia="仿宋_GB2312" w:cs="仿宋_GB2312"/>
          <w:color w:val="auto"/>
          <w:kern w:val="0"/>
          <w:sz w:val="24"/>
          <w:szCs w:val="24"/>
          <w:lang w:val="en-US"/>
        </w:rPr>
        <w:t>”的、被“中国政府采购网”网站列入“政府采购严重违法失信行为记录名单”（处罚期限尚未届满的），不得参与本项目的政府采购活动；</w:t>
      </w:r>
    </w:p>
    <w:p w14:paraId="431D301F">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（7）法律、行政法规规定的其他条件；</w:t>
      </w:r>
    </w:p>
    <w:p w14:paraId="0AB06A9C">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ascii="仿宋_GB2312" w:hAnsi="仿宋_GB2312" w:eastAsia="仿宋_GB2312" w:cs="仿宋_GB2312"/>
          <w:color w:val="auto"/>
          <w:kern w:val="0"/>
          <w:sz w:val="24"/>
          <w:szCs w:val="24"/>
          <w:lang w:val="en-US"/>
        </w:rPr>
        <w:t>（8）</w:t>
      </w:r>
      <w:r>
        <w:rPr>
          <w:rFonts w:hint="eastAsia" w:ascii="仿宋_GB2312" w:hAnsi="仿宋_GB2312" w:eastAsia="仿宋_GB2312" w:cs="仿宋_GB2312"/>
          <w:color w:val="auto"/>
          <w:kern w:val="0"/>
          <w:sz w:val="24"/>
          <w:szCs w:val="24"/>
          <w:lang w:val="en-US"/>
        </w:rPr>
        <w:t>投标人按照招标公告的要求获取招标文件；</w:t>
      </w:r>
    </w:p>
    <w:p w14:paraId="10C5471A">
      <w:pPr>
        <w:pStyle w:val="5"/>
        <w:adjustRightInd w:val="0"/>
        <w:snapToGrid w:val="0"/>
        <w:spacing w:before="0" w:after="0" w:line="400" w:lineRule="exact"/>
        <w:ind w:firstLine="480"/>
        <w:jc w:val="both"/>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3.本项目</w:t>
      </w:r>
      <w:r>
        <w:rPr>
          <w:rFonts w:hint="eastAsia" w:ascii="仿宋_GB2312" w:hAnsi="仿宋_GB2312" w:eastAsia="仿宋_GB2312" w:cs="仿宋_GB2312"/>
          <w:color w:val="auto"/>
          <w:sz w:val="24"/>
          <w:szCs w:val="24"/>
          <w:highlight w:val="none"/>
          <w:u w:val="single"/>
        </w:rPr>
        <w:t>（不接受）</w:t>
      </w:r>
      <w:r>
        <w:rPr>
          <w:rFonts w:hint="eastAsia" w:ascii="仿宋_GB2312" w:hAnsi="仿宋_GB2312" w:eastAsia="仿宋_GB2312" w:cs="仿宋_GB2312"/>
          <w:color w:val="auto"/>
          <w:sz w:val="24"/>
          <w:szCs w:val="24"/>
          <w:highlight w:val="none"/>
        </w:rPr>
        <w:t>联合体投标。</w:t>
      </w:r>
    </w:p>
    <w:p w14:paraId="7B456E2F">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七、招标文件获取时间、地点和要求</w:t>
      </w:r>
    </w:p>
    <w:p w14:paraId="31A0F4B1">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1.获取时间：自</w:t>
      </w:r>
      <w:r>
        <w:rPr>
          <w:rFonts w:hint="eastAsia" w:ascii="仿宋_GB2312" w:hAnsi="仿宋_GB2312" w:eastAsia="仿宋_GB2312" w:cs="仿宋_GB2312"/>
          <w:color w:val="auto"/>
          <w:u w:val="single"/>
          <w:lang w:val="en-US" w:eastAsia="zh-CN"/>
        </w:rPr>
        <w:t>2026</w:t>
      </w:r>
      <w:r>
        <w:rPr>
          <w:rFonts w:hint="eastAsia" w:ascii="仿宋_GB2312" w:hAnsi="仿宋_GB2312" w:eastAsia="仿宋_GB2312" w:cs="仿宋_GB2312"/>
          <w:color w:val="auto"/>
        </w:rPr>
        <w:t>年</w:t>
      </w:r>
      <w:r>
        <w:rPr>
          <w:rFonts w:hint="eastAsia" w:ascii="仿宋_GB2312" w:hAnsi="仿宋_GB2312" w:eastAsia="仿宋_GB2312" w:cs="仿宋_GB2312"/>
          <w:color w:val="auto"/>
          <w:u w:val="single"/>
          <w:lang w:val="en-US" w:eastAsia="zh-CN"/>
        </w:rPr>
        <w:t>08</w:t>
      </w:r>
      <w:r>
        <w:rPr>
          <w:rFonts w:hint="eastAsia" w:ascii="仿宋_GB2312" w:hAnsi="仿宋_GB2312" w:eastAsia="仿宋_GB2312" w:cs="仿宋_GB2312"/>
          <w:color w:val="auto"/>
        </w:rPr>
        <w:t>月</w:t>
      </w:r>
      <w:r>
        <w:rPr>
          <w:rFonts w:hint="eastAsia" w:ascii="仿宋_GB2312" w:hAnsi="仿宋_GB2312" w:eastAsia="仿宋_GB2312" w:cs="仿宋_GB2312"/>
          <w:color w:val="auto"/>
          <w:u w:val="single"/>
          <w:lang w:val="en-US" w:eastAsia="zh-CN"/>
        </w:rPr>
        <w:t>03</w:t>
      </w:r>
      <w:r>
        <w:rPr>
          <w:rFonts w:hint="eastAsia" w:ascii="仿宋_GB2312" w:hAnsi="仿宋_GB2312" w:eastAsia="仿宋_GB2312" w:cs="仿宋_GB2312"/>
          <w:color w:val="auto"/>
        </w:rPr>
        <w:t>日起至</w:t>
      </w:r>
      <w:r>
        <w:rPr>
          <w:rFonts w:hint="eastAsia" w:ascii="仿宋_GB2312" w:hAnsi="仿宋_GB2312" w:eastAsia="仿宋_GB2312" w:cs="仿宋_GB2312"/>
          <w:color w:val="auto"/>
          <w:u w:val="single"/>
          <w:lang w:val="en-US" w:eastAsia="zh-CN"/>
        </w:rPr>
        <w:t>2026</w:t>
      </w:r>
      <w:r>
        <w:rPr>
          <w:rFonts w:hint="eastAsia" w:ascii="仿宋_GB2312" w:hAnsi="仿宋_GB2312" w:eastAsia="仿宋_GB2312" w:cs="仿宋_GB2312"/>
          <w:color w:val="auto"/>
        </w:rPr>
        <w:t>年</w:t>
      </w:r>
      <w:r>
        <w:rPr>
          <w:rFonts w:hint="eastAsia" w:ascii="仿宋_GB2312" w:hAnsi="仿宋_GB2312" w:eastAsia="仿宋_GB2312" w:cs="仿宋_GB2312"/>
          <w:color w:val="auto"/>
          <w:u w:val="single"/>
          <w:lang w:val="en-US" w:eastAsia="zh-CN"/>
        </w:rPr>
        <w:t>08</w:t>
      </w:r>
      <w:r>
        <w:rPr>
          <w:rFonts w:hint="eastAsia" w:ascii="仿宋_GB2312" w:hAnsi="仿宋_GB2312" w:eastAsia="仿宋_GB2312" w:cs="仿宋_GB2312"/>
          <w:color w:val="auto"/>
        </w:rPr>
        <w:t>月</w:t>
      </w:r>
      <w:r>
        <w:rPr>
          <w:rFonts w:hint="eastAsia" w:ascii="仿宋_GB2312" w:hAnsi="仿宋_GB2312" w:eastAsia="仿宋_GB2312" w:cs="仿宋_GB2312"/>
          <w:color w:val="auto"/>
          <w:u w:val="single"/>
          <w:lang w:val="en-US" w:eastAsia="zh-CN"/>
        </w:rPr>
        <w:t>10</w:t>
      </w:r>
      <w:r>
        <w:rPr>
          <w:rFonts w:hint="eastAsia" w:ascii="仿宋_GB2312" w:hAnsi="仿宋_GB2312" w:eastAsia="仿宋_GB2312" w:cs="仿宋_GB2312"/>
          <w:color w:val="auto"/>
        </w:rPr>
        <w:t>日（上午</w:t>
      </w:r>
      <w:r>
        <w:rPr>
          <w:rFonts w:hint="eastAsia" w:ascii="仿宋_GB2312" w:hAnsi="仿宋_GB2312" w:eastAsia="仿宋_GB2312" w:cs="仿宋_GB2312"/>
          <w:color w:val="auto"/>
          <w:u w:val="single"/>
          <w:lang w:val="en-US" w:eastAsia="zh-CN"/>
        </w:rPr>
        <w:t>09</w:t>
      </w:r>
      <w:r>
        <w:rPr>
          <w:rFonts w:hint="eastAsia" w:ascii="仿宋_GB2312" w:hAnsi="仿宋_GB2312" w:eastAsia="仿宋_GB2312" w:cs="仿宋_GB2312"/>
          <w:color w:val="auto"/>
        </w:rPr>
        <w:t>时至</w:t>
      </w:r>
      <w:r>
        <w:rPr>
          <w:rFonts w:hint="eastAsia" w:ascii="仿宋_GB2312" w:hAnsi="仿宋_GB2312" w:eastAsia="仿宋_GB2312" w:cs="仿宋_GB2312"/>
          <w:color w:val="auto"/>
          <w:u w:val="single"/>
          <w:lang w:val="en-US" w:eastAsia="zh-CN"/>
        </w:rPr>
        <w:t>12</w:t>
      </w:r>
      <w:r>
        <w:rPr>
          <w:rFonts w:hint="eastAsia" w:ascii="仿宋_GB2312" w:hAnsi="仿宋_GB2312" w:eastAsia="仿宋_GB2312" w:cs="仿宋_GB2312"/>
          <w:color w:val="auto"/>
        </w:rPr>
        <w:t>时，下午</w:t>
      </w:r>
      <w:r>
        <w:rPr>
          <w:rFonts w:hint="eastAsia" w:ascii="仿宋_GB2312" w:hAnsi="仿宋_GB2312" w:eastAsia="仿宋_GB2312" w:cs="仿宋_GB2312"/>
          <w:color w:val="auto"/>
          <w:u w:val="single"/>
          <w:lang w:val="en-US" w:eastAsia="zh-CN"/>
        </w:rPr>
        <w:t>13</w:t>
      </w:r>
      <w:r>
        <w:rPr>
          <w:rFonts w:hint="eastAsia" w:ascii="仿宋_GB2312" w:hAnsi="仿宋_GB2312" w:eastAsia="仿宋_GB2312" w:cs="仿宋_GB2312"/>
          <w:color w:val="auto"/>
        </w:rPr>
        <w:t>时至</w:t>
      </w:r>
      <w:r>
        <w:rPr>
          <w:rFonts w:hint="eastAsia" w:ascii="仿宋_GB2312" w:hAnsi="仿宋_GB2312" w:eastAsia="仿宋_GB2312" w:cs="仿宋_GB2312"/>
          <w:color w:val="auto"/>
          <w:u w:val="single"/>
          <w:lang w:val="en-US" w:eastAsia="zh-CN"/>
        </w:rPr>
        <w:t>17</w:t>
      </w:r>
      <w:r>
        <w:rPr>
          <w:rFonts w:hint="eastAsia" w:ascii="仿宋_GB2312" w:hAnsi="仿宋_GB2312" w:eastAsia="仿宋_GB2312" w:cs="仿宋_GB2312"/>
          <w:color w:val="auto"/>
        </w:rPr>
        <w:t>时）。</w:t>
      </w:r>
    </w:p>
    <w:p w14:paraId="06D7E845">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2.获取地点：</w:t>
      </w:r>
      <w:r>
        <w:rPr>
          <w:rFonts w:hint="eastAsia" w:ascii="仿宋_GB2312" w:hAnsi="仿宋_GB2312" w:eastAsia="仿宋_GB2312" w:cs="仿宋_GB2312"/>
          <w:color w:val="auto"/>
          <w:u w:val="single"/>
          <w:lang w:eastAsia="zh-CN"/>
        </w:rPr>
        <w:t>北京市海淀区首体南路22号国兴大厦11层</w:t>
      </w:r>
    </w:p>
    <w:p w14:paraId="23F65ADC">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3.招标文件售价：人民币</w:t>
      </w:r>
      <w:r>
        <w:rPr>
          <w:rFonts w:ascii="仿宋_GB2312" w:hAnsi="仿宋_GB2312" w:eastAsia="仿宋_GB2312" w:cs="仿宋_GB2312"/>
          <w:color w:val="auto"/>
        </w:rPr>
        <w:t>600</w:t>
      </w:r>
      <w:r>
        <w:rPr>
          <w:rFonts w:hint="eastAsia" w:ascii="仿宋_GB2312" w:hAnsi="仿宋_GB2312" w:eastAsia="仿宋_GB2312" w:cs="仿宋_GB2312"/>
          <w:color w:val="auto"/>
        </w:rPr>
        <w:t>元/包，售后不退。</w:t>
      </w:r>
    </w:p>
    <w:p w14:paraId="3D0881D0">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八、接受投标时间、投标截止时间及开标时间</w:t>
      </w:r>
    </w:p>
    <w:p w14:paraId="0A68E4E1">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w:t>
      </w:r>
      <w:bookmarkStart w:id="1" w:name="OLE_LINK2"/>
      <w:r>
        <w:rPr>
          <w:rFonts w:hint="eastAsia" w:ascii="仿宋_GB2312" w:hAnsi="仿宋_GB2312" w:eastAsia="仿宋_GB2312" w:cs="仿宋_GB2312"/>
          <w:color w:val="auto"/>
        </w:rPr>
        <w:t>投标截止时间：</w:t>
      </w:r>
      <w:r>
        <w:rPr>
          <w:rFonts w:hint="eastAsia" w:ascii="仿宋_GB2312" w:hAnsi="仿宋_GB2312" w:eastAsia="仿宋_GB2312" w:cs="仿宋_GB2312"/>
          <w:color w:val="auto"/>
          <w:u w:val="single"/>
          <w:lang w:val="en-US" w:eastAsia="zh-CN"/>
        </w:rPr>
        <w:t>2026</w:t>
      </w:r>
      <w:r>
        <w:rPr>
          <w:rFonts w:hint="eastAsia" w:ascii="仿宋_GB2312" w:hAnsi="仿宋_GB2312" w:eastAsia="仿宋_GB2312" w:cs="仿宋_GB2312"/>
          <w:color w:val="auto"/>
        </w:rPr>
        <w:t>年</w:t>
      </w:r>
      <w:r>
        <w:rPr>
          <w:rFonts w:hint="eastAsia" w:ascii="仿宋_GB2312" w:hAnsi="仿宋_GB2312" w:eastAsia="仿宋_GB2312" w:cs="仿宋_GB2312"/>
          <w:color w:val="auto"/>
          <w:u w:val="single"/>
          <w:lang w:val="en-US" w:eastAsia="zh-CN"/>
        </w:rPr>
        <w:t>08</w:t>
      </w:r>
      <w:r>
        <w:rPr>
          <w:rFonts w:hint="eastAsia" w:ascii="仿宋_GB2312" w:hAnsi="仿宋_GB2312" w:eastAsia="仿宋_GB2312" w:cs="仿宋_GB2312"/>
          <w:color w:val="auto"/>
        </w:rPr>
        <w:t>月</w:t>
      </w:r>
      <w:r>
        <w:rPr>
          <w:rFonts w:hint="eastAsia" w:ascii="仿宋_GB2312" w:hAnsi="仿宋_GB2312" w:eastAsia="仿宋_GB2312" w:cs="仿宋_GB2312"/>
          <w:color w:val="auto"/>
          <w:u w:val="single"/>
          <w:lang w:val="en-US" w:eastAsia="zh-CN"/>
        </w:rPr>
        <w:t>24</w:t>
      </w:r>
      <w:r>
        <w:rPr>
          <w:rFonts w:hint="eastAsia" w:ascii="仿宋_GB2312" w:hAnsi="仿宋_GB2312" w:eastAsia="仿宋_GB2312" w:cs="仿宋_GB2312"/>
          <w:color w:val="auto"/>
        </w:rPr>
        <w:t>日</w:t>
      </w:r>
      <w:r>
        <w:rPr>
          <w:rFonts w:hint="eastAsia" w:ascii="仿宋_GB2312" w:hAnsi="仿宋_GB2312" w:eastAsia="仿宋_GB2312" w:cs="仿宋_GB2312"/>
          <w:color w:val="auto"/>
          <w:u w:val="single"/>
          <w:lang w:val="en-US" w:eastAsia="zh-CN"/>
        </w:rPr>
        <w:t>13</w:t>
      </w:r>
      <w:r>
        <w:rPr>
          <w:rFonts w:hint="eastAsia" w:ascii="仿宋_GB2312" w:hAnsi="仿宋_GB2312" w:eastAsia="仿宋_GB2312" w:cs="仿宋_GB2312"/>
          <w:color w:val="auto"/>
        </w:rPr>
        <w:t>时</w:t>
      </w:r>
      <w:r>
        <w:rPr>
          <w:rFonts w:hint="eastAsia" w:ascii="仿宋_GB2312" w:hAnsi="仿宋_GB2312" w:eastAsia="仿宋_GB2312" w:cs="仿宋_GB2312"/>
          <w:color w:val="auto"/>
          <w:u w:val="single"/>
          <w:lang w:val="en-US" w:eastAsia="zh-CN"/>
        </w:rPr>
        <w:t>00</w:t>
      </w:r>
      <w:r>
        <w:rPr>
          <w:rFonts w:hint="eastAsia" w:ascii="仿宋_GB2312" w:hAnsi="仿宋_GB2312" w:eastAsia="仿宋_GB2312" w:cs="仿宋_GB2312"/>
          <w:color w:val="auto"/>
          <w:lang w:val="en-US" w:eastAsia="zh-CN"/>
        </w:rPr>
        <w:t>分</w:t>
      </w:r>
      <w:r>
        <w:rPr>
          <w:rFonts w:hint="eastAsia" w:ascii="仿宋_GB2312" w:hAnsi="仿宋_GB2312" w:eastAsia="仿宋_GB2312" w:cs="仿宋_GB2312"/>
          <w:color w:val="auto"/>
        </w:rPr>
        <w:t>（北京时间）</w:t>
      </w:r>
      <w:bookmarkEnd w:id="1"/>
    </w:p>
    <w:p w14:paraId="752136D2">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2.投标截止时间后送达的投标文件将被拒收，在规定时间内所提交的投标文件未按照招标文件要求密封的也将被拒收。</w:t>
      </w:r>
    </w:p>
    <w:p w14:paraId="16410124">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3.开标时间：</w:t>
      </w:r>
      <w:r>
        <w:rPr>
          <w:rFonts w:hint="eastAsia" w:ascii="仿宋_GB2312" w:hAnsi="仿宋_GB2312" w:eastAsia="仿宋_GB2312" w:cs="仿宋_GB2312"/>
          <w:color w:val="auto"/>
          <w:u w:val="single"/>
          <w:lang w:val="en-US" w:eastAsia="zh-CN"/>
        </w:rPr>
        <w:t>2026</w:t>
      </w:r>
      <w:r>
        <w:rPr>
          <w:rFonts w:hint="eastAsia" w:ascii="仿宋_GB2312" w:hAnsi="仿宋_GB2312" w:eastAsia="仿宋_GB2312" w:cs="仿宋_GB2312"/>
          <w:color w:val="auto"/>
        </w:rPr>
        <w:t>年</w:t>
      </w:r>
      <w:r>
        <w:rPr>
          <w:rFonts w:hint="eastAsia" w:ascii="仿宋_GB2312" w:hAnsi="仿宋_GB2312" w:eastAsia="仿宋_GB2312" w:cs="仿宋_GB2312"/>
          <w:color w:val="auto"/>
          <w:u w:val="single"/>
          <w:lang w:val="en-US" w:eastAsia="zh-CN"/>
        </w:rPr>
        <w:t>08</w:t>
      </w:r>
      <w:r>
        <w:rPr>
          <w:rFonts w:hint="eastAsia" w:ascii="仿宋_GB2312" w:hAnsi="仿宋_GB2312" w:eastAsia="仿宋_GB2312" w:cs="仿宋_GB2312"/>
          <w:color w:val="auto"/>
        </w:rPr>
        <w:t>月</w:t>
      </w:r>
      <w:r>
        <w:rPr>
          <w:rFonts w:hint="eastAsia" w:ascii="仿宋_GB2312" w:hAnsi="仿宋_GB2312" w:eastAsia="仿宋_GB2312" w:cs="仿宋_GB2312"/>
          <w:color w:val="auto"/>
          <w:u w:val="single"/>
          <w:lang w:val="en-US" w:eastAsia="zh-CN"/>
        </w:rPr>
        <w:t>24</w:t>
      </w:r>
      <w:r>
        <w:rPr>
          <w:rFonts w:hint="eastAsia" w:ascii="仿宋_GB2312" w:hAnsi="仿宋_GB2312" w:eastAsia="仿宋_GB2312" w:cs="仿宋_GB2312"/>
          <w:color w:val="auto"/>
        </w:rPr>
        <w:t>日</w:t>
      </w:r>
      <w:r>
        <w:rPr>
          <w:rFonts w:hint="eastAsia" w:ascii="仿宋_GB2312" w:hAnsi="仿宋_GB2312" w:eastAsia="仿宋_GB2312" w:cs="仿宋_GB2312"/>
          <w:color w:val="auto"/>
          <w:u w:val="single"/>
          <w:lang w:val="en-US" w:eastAsia="zh-CN"/>
        </w:rPr>
        <w:t>13</w:t>
      </w:r>
      <w:r>
        <w:rPr>
          <w:rFonts w:hint="eastAsia" w:ascii="仿宋_GB2312" w:hAnsi="仿宋_GB2312" w:eastAsia="仿宋_GB2312" w:cs="仿宋_GB2312"/>
          <w:color w:val="auto"/>
        </w:rPr>
        <w:t>时</w:t>
      </w:r>
      <w:r>
        <w:rPr>
          <w:rFonts w:hint="eastAsia" w:ascii="仿宋_GB2312" w:hAnsi="仿宋_GB2312" w:eastAsia="仿宋_GB2312" w:cs="仿宋_GB2312"/>
          <w:color w:val="auto"/>
          <w:u w:val="single"/>
          <w:lang w:val="en-US" w:eastAsia="zh-CN"/>
        </w:rPr>
        <w:t>00</w:t>
      </w:r>
      <w:r>
        <w:rPr>
          <w:rFonts w:hint="eastAsia" w:ascii="仿宋_GB2312" w:hAnsi="仿宋_GB2312" w:eastAsia="仿宋_GB2312" w:cs="仿宋_GB2312"/>
          <w:color w:val="auto"/>
          <w:lang w:val="en-US" w:eastAsia="zh-CN"/>
        </w:rPr>
        <w:t>分</w:t>
      </w:r>
      <w:r>
        <w:rPr>
          <w:rFonts w:hint="eastAsia" w:ascii="仿宋_GB2312" w:hAnsi="仿宋_GB2312" w:eastAsia="仿宋_GB2312" w:cs="仿宋_GB2312"/>
          <w:color w:val="auto"/>
        </w:rPr>
        <w:t>（北京时间）</w:t>
      </w:r>
    </w:p>
    <w:p w14:paraId="56D57674">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九、投标地点及开标地点</w:t>
      </w:r>
    </w:p>
    <w:p w14:paraId="562E18B4">
      <w:pPr>
        <w:snapToGrid w:val="0"/>
        <w:spacing w:line="400" w:lineRule="exact"/>
        <w:ind w:firstLine="480" w:firstLineChars="200"/>
        <w:rPr>
          <w:rFonts w:hint="default" w:ascii="仿宋_GB2312" w:hAnsi="仿宋_GB2312" w:eastAsia="仿宋_GB2312" w:cs="仿宋_GB2312"/>
          <w:bCs/>
          <w:color w:val="auto"/>
          <w:lang w:val="en-US"/>
        </w:rPr>
      </w:pPr>
      <w:r>
        <w:rPr>
          <w:rFonts w:hint="eastAsia" w:ascii="仿宋_GB2312" w:hAnsi="仿宋_GB2312" w:eastAsia="仿宋_GB2312" w:cs="仿宋_GB2312"/>
          <w:bCs/>
          <w:color w:val="auto"/>
        </w:rPr>
        <w:t>1.投标地点：</w:t>
      </w:r>
      <w:bookmarkStart w:id="2" w:name="OLE_LINK7"/>
      <w:r>
        <w:rPr>
          <w:rFonts w:hint="eastAsia" w:ascii="仿宋_GB2312" w:hAnsi="仿宋_GB2312" w:eastAsia="仿宋_GB2312" w:cs="仿宋_GB2312"/>
          <w:color w:val="auto"/>
          <w:u w:val="single"/>
          <w:lang w:eastAsia="zh-CN"/>
        </w:rPr>
        <w:t>北京市海淀区首体南路22号国兴大厦11层</w:t>
      </w:r>
      <w:r>
        <w:rPr>
          <w:rFonts w:hint="eastAsia" w:ascii="仿宋_GB2312" w:hAnsi="仿宋_GB2312" w:eastAsia="仿宋_GB2312" w:cs="仿宋_GB2312"/>
          <w:color w:val="auto"/>
          <w:u w:val="single"/>
          <w:lang w:val="en-US" w:eastAsia="zh-CN"/>
        </w:rPr>
        <w:t>第2会议室</w:t>
      </w:r>
      <w:bookmarkEnd w:id="2"/>
    </w:p>
    <w:p w14:paraId="4176A60E">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bCs/>
          <w:color w:val="auto"/>
        </w:rPr>
        <w:t>2.开标地点：</w:t>
      </w:r>
      <w:r>
        <w:rPr>
          <w:rFonts w:hint="eastAsia" w:ascii="仿宋_GB2312" w:hAnsi="仿宋_GB2312" w:eastAsia="仿宋_GB2312" w:cs="仿宋_GB2312"/>
          <w:color w:val="auto"/>
          <w:u w:val="single"/>
          <w:lang w:eastAsia="zh-CN"/>
        </w:rPr>
        <w:t>北京市海淀区首体南路22号国兴大厦11层</w:t>
      </w:r>
      <w:r>
        <w:rPr>
          <w:rFonts w:hint="eastAsia" w:ascii="仿宋_GB2312" w:hAnsi="仿宋_GB2312" w:eastAsia="仿宋_GB2312" w:cs="仿宋_GB2312"/>
          <w:color w:val="auto"/>
          <w:u w:val="single"/>
          <w:lang w:val="en-US" w:eastAsia="zh-CN"/>
        </w:rPr>
        <w:t>第2会议室</w:t>
      </w:r>
    </w:p>
    <w:p w14:paraId="7FCD39CE">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3.届时请投标人的法定代表人或其授权的投标人代表出席开标仪式。</w:t>
      </w:r>
    </w:p>
    <w:p w14:paraId="7F2F820D">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十、采购人、采购代理机构、最终用户信息</w:t>
      </w:r>
    </w:p>
    <w:p w14:paraId="5C9D346B">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1.采购人信息</w:t>
      </w:r>
    </w:p>
    <w:p w14:paraId="15F0C4EA">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（1）采购人名称：全国学生资助管理中心</w:t>
      </w:r>
    </w:p>
    <w:p w14:paraId="50BF08E4">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（2）采购人地址：</w:t>
      </w:r>
      <w:bookmarkStart w:id="3" w:name="OLE_LINK11"/>
      <w:r>
        <w:rPr>
          <w:rFonts w:hint="eastAsia" w:ascii="仿宋_GB2312" w:hAnsi="仿宋_GB2312" w:eastAsia="仿宋_GB2312" w:cs="仿宋_GB2312"/>
          <w:color w:val="auto"/>
        </w:rPr>
        <w:t>北京市海淀区西直门北大街32号枫蓝国际中心写字楼B座1706</w:t>
      </w:r>
      <w:bookmarkEnd w:id="3"/>
    </w:p>
    <w:p w14:paraId="4BC50265">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（3）联系人：李老师</w:t>
      </w:r>
    </w:p>
    <w:p w14:paraId="5FF9C849">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（4）联系电话：</w:t>
      </w:r>
      <w:bookmarkStart w:id="4" w:name="OLE_LINK9"/>
      <w:r>
        <w:rPr>
          <w:rFonts w:hint="eastAsia" w:ascii="仿宋_GB2312" w:hAnsi="仿宋_GB2312" w:eastAsia="仿宋_GB2312" w:cs="仿宋_GB2312"/>
          <w:color w:val="auto"/>
        </w:rPr>
        <w:t>010-66093019</w:t>
      </w:r>
      <w:bookmarkEnd w:id="4"/>
    </w:p>
    <w:p w14:paraId="0C85926E">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2.采购代理机构信息</w:t>
      </w:r>
    </w:p>
    <w:p w14:paraId="4056C641">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（1）采购代理机构名称：国信招标集团股份有限公司</w:t>
      </w:r>
    </w:p>
    <w:p w14:paraId="5C008C0B">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（2）采购代理机构地址：</w:t>
      </w:r>
      <w:bookmarkStart w:id="5" w:name="OLE_LINK10"/>
      <w:r>
        <w:rPr>
          <w:rFonts w:hint="eastAsia" w:ascii="仿宋_GB2312" w:hAnsi="仿宋_GB2312" w:eastAsia="仿宋_GB2312" w:cs="仿宋_GB2312"/>
          <w:color w:val="auto"/>
        </w:rPr>
        <w:t>北京市海淀区首体南路22号国兴大厦11层</w:t>
      </w:r>
      <w:bookmarkEnd w:id="5"/>
    </w:p>
    <w:p w14:paraId="1C09796F">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（3）邮政编码：100044</w:t>
      </w:r>
    </w:p>
    <w:p w14:paraId="32845F55">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（4）联系人：张静、张文雪、张薇、马晓晴</w:t>
      </w:r>
    </w:p>
    <w:p w14:paraId="1B4A08B6">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（5）联系电话：010-88354433-22</w:t>
      </w:r>
      <w:r>
        <w:rPr>
          <w:rFonts w:ascii="仿宋_GB2312" w:hAnsi="仿宋_GB2312" w:eastAsia="仿宋_GB2312" w:cs="仿宋_GB2312"/>
          <w:color w:val="auto"/>
        </w:rPr>
        <w:t>1</w:t>
      </w:r>
    </w:p>
    <w:p w14:paraId="023CF6E0">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（6）邮箱：m1372009</w:t>
      </w:r>
      <w:r>
        <w:rPr>
          <w:rFonts w:ascii="仿宋_GB2312" w:hAnsi="仿宋_GB2312" w:eastAsia="仿宋_GB2312" w:cs="仿宋_GB2312"/>
          <w:color w:val="auto"/>
        </w:rPr>
        <w:t>6151</w:t>
      </w:r>
      <w:r>
        <w:rPr>
          <w:rFonts w:hint="eastAsia" w:ascii="仿宋_GB2312" w:hAnsi="仿宋_GB2312" w:eastAsia="仿宋_GB2312" w:cs="仿宋_GB2312"/>
          <w:color w:val="auto"/>
        </w:rPr>
        <w:t>@163.com</w:t>
      </w:r>
    </w:p>
    <w:p w14:paraId="5027C4A9">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3.最终用户（合同甲方）信息：</w:t>
      </w:r>
    </w:p>
    <w:p w14:paraId="20B0673B">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（1）最终用户名称：</w:t>
      </w:r>
      <w:r>
        <w:rPr>
          <w:rFonts w:hint="eastAsia" w:ascii="仿宋_GB2312" w:hAnsi="仿宋_GB2312" w:eastAsia="仿宋_GB2312" w:cs="仿宋_GB2312"/>
          <w:color w:val="auto"/>
          <w:u w:val="single"/>
        </w:rPr>
        <w:t>中华人民共和国教育部</w:t>
      </w:r>
    </w:p>
    <w:p w14:paraId="2A750220">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（2）最终用户地址：</w:t>
      </w:r>
      <w:r>
        <w:rPr>
          <w:rFonts w:hint="eastAsia" w:ascii="仿宋_GB2312" w:hAnsi="仿宋_GB2312" w:eastAsia="仿宋_GB2312" w:cs="仿宋_GB2312"/>
          <w:color w:val="auto"/>
          <w:u w:val="single"/>
        </w:rPr>
        <w:t>北京市西城区西单大木仓胡同37号</w:t>
      </w:r>
    </w:p>
    <w:p w14:paraId="65DF483C">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（3）联系人：</w:t>
      </w:r>
      <w:r>
        <w:rPr>
          <w:rFonts w:hint="eastAsia" w:ascii="仿宋_GB2312" w:hAnsi="仿宋_GB2312" w:eastAsia="仿宋_GB2312" w:cs="仿宋_GB2312"/>
          <w:color w:val="auto"/>
          <w:u w:val="single"/>
        </w:rPr>
        <w:t xml:space="preserve">  邵伟婧    </w:t>
      </w:r>
    </w:p>
    <w:p w14:paraId="41E311FE">
      <w:pPr>
        <w:snapToGrid w:val="0"/>
        <w:spacing w:line="400" w:lineRule="exact"/>
        <w:ind w:firstLine="480" w:firstLineChars="200"/>
        <w:rPr>
          <w:color w:val="auto"/>
        </w:rPr>
      </w:pPr>
      <w:r>
        <w:rPr>
          <w:rFonts w:hint="eastAsia" w:ascii="仿宋_GB2312" w:hAnsi="仿宋_GB2312" w:eastAsia="仿宋_GB2312" w:cs="仿宋_GB2312"/>
          <w:color w:val="auto"/>
        </w:rPr>
        <w:t>（4）联系电话：</w:t>
      </w:r>
      <w:r>
        <w:rPr>
          <w:rFonts w:hint="eastAsia" w:ascii="仿宋_GB2312" w:hAnsi="仿宋_GB2312" w:eastAsia="仿宋_GB2312" w:cs="仿宋_GB2312"/>
          <w:color w:val="auto"/>
          <w:u w:val="single"/>
        </w:rPr>
        <w:t xml:space="preserve"> </w:t>
      </w:r>
      <w:r>
        <w:rPr>
          <w:rFonts w:hint="eastAsia" w:ascii="Times New Roman" w:hAnsi="Times New Roman" w:eastAsia="仿宋_GB2312" w:cs="仿宋_GB2312"/>
          <w:color w:val="auto"/>
          <w:u w:val="single"/>
        </w:rPr>
        <w:t>010-66096767</w:t>
      </w:r>
    </w:p>
    <w:p w14:paraId="3F362234">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十一、公告发布和期限</w:t>
      </w:r>
    </w:p>
    <w:p w14:paraId="1ACAF212">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1.本项目相关信息公告均在“中国政府采购网”媒体上发布。</w:t>
      </w:r>
    </w:p>
    <w:p w14:paraId="76B55375">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2.本项目招标公告期限为5个工作日。</w:t>
      </w:r>
    </w:p>
    <w:p w14:paraId="254FB52E">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3.本项目中标公告期限为1个工作日。</w:t>
      </w:r>
    </w:p>
    <w:p w14:paraId="34064D5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DE5469"/>
    <w:rsid w:val="2ADE54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99"/>
    <w:pPr>
      <w:autoSpaceDE w:val="0"/>
      <w:autoSpaceDN w:val="0"/>
      <w:spacing w:line="240" w:lineRule="auto"/>
      <w:ind w:firstLine="420"/>
      <w:textAlignment w:val="auto"/>
    </w:pPr>
    <w:rPr>
      <w:rFonts w:ascii="宋体" w:cs="Times New Roman"/>
      <w:szCs w:val="20"/>
    </w:rPr>
  </w:style>
  <w:style w:type="paragraph" w:customStyle="1" w:styleId="5">
    <w:name w:val="列出段落11"/>
    <w:basedOn w:val="1"/>
    <w:qFormat/>
    <w:uiPriority w:val="0"/>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2026-08-03T01:22:00Z</dcterms:created>
  <dc:creator>张静</dc:creator>
  <cp:lastModifiedBy>张静</cp:lastModifiedBy>
  <dcterms:modified xsi:type="dcterms:W3CDTF">2026-08-03T01:23:22Z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604DFD454527436686B3A7C5A27E5461_11</vt:lpwstr>
  </property>
</Properties>
</file>