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3A26C">
      <w:pPr>
        <w:keepNext w:val="0"/>
        <w:keepLines w:val="0"/>
        <w:pageBreakBefore w:val="0"/>
        <w:widowControl/>
        <w:kinsoku/>
        <w:wordWrap/>
        <w:overflowPunct/>
        <w:topLinePunct w:val="0"/>
        <w:autoSpaceDE/>
        <w:autoSpaceDN/>
        <w:bidi w:val="0"/>
        <w:snapToGrid w:val="0"/>
        <w:spacing w:line="440" w:lineRule="exact"/>
        <w:jc w:val="center"/>
        <w:textAlignment w:val="auto"/>
        <w:rPr>
          <w:rFonts w:hint="default" w:ascii="宋体" w:hAnsi="宋体" w:eastAsia="宋体" w:cs="宋体"/>
          <w:sz w:val="32"/>
          <w:szCs w:val="32"/>
          <w:u w:val="single"/>
          <w:lang w:val="en-US" w:eastAsia="zh-CN"/>
        </w:rPr>
      </w:pPr>
      <w:r>
        <w:rPr>
          <w:rFonts w:hint="eastAsia" w:ascii="宋体" w:hAnsi="宋体" w:cs="宋体"/>
          <w:b/>
          <w:bCs/>
          <w:sz w:val="32"/>
          <w:szCs w:val="32"/>
        </w:rPr>
        <w:t>中国教育发展基金会-耐克活力校园课题共创计划</w:t>
      </w:r>
      <w:r>
        <w:rPr>
          <w:rFonts w:hint="eastAsia" w:ascii="宋体" w:hAnsi="宋体" w:cs="宋体"/>
          <w:b/>
          <w:bCs/>
          <w:sz w:val="32"/>
          <w:szCs w:val="32"/>
          <w:lang w:val="en-US" w:eastAsia="zh-CN"/>
        </w:rPr>
        <w:t>招标公告</w:t>
      </w:r>
    </w:p>
    <w:p w14:paraId="7AA6E1F5">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hint="eastAsia" w:ascii="宋体" w:hAnsi="宋体" w:cs="宋体"/>
          <w:u w:val="single"/>
        </w:rPr>
      </w:pPr>
    </w:p>
    <w:p w14:paraId="688A33FA">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u w:val="single"/>
        </w:rPr>
        <w:t>国信招标集团股份有限公司</w:t>
      </w:r>
      <w:r>
        <w:rPr>
          <w:rFonts w:hint="eastAsia" w:ascii="宋体" w:hAnsi="宋体" w:cs="宋体"/>
        </w:rPr>
        <w:t>（以下简称“采购代理机构”）受全国学生资助管理中心（以下简称“采购人”）委托，就</w:t>
      </w:r>
      <w:bookmarkStart w:id="0" w:name="OLE_LINK4"/>
      <w:r>
        <w:rPr>
          <w:rFonts w:hint="eastAsia" w:ascii="宋体" w:hAnsi="宋体" w:cs="宋体"/>
          <w:u w:val="single"/>
        </w:rPr>
        <w:t>中国教育发展基金会-耐克活力校园课题共创计划</w:t>
      </w:r>
      <w:bookmarkEnd w:id="0"/>
      <w:r>
        <w:rPr>
          <w:rFonts w:hint="eastAsia" w:ascii="宋体" w:hAnsi="宋体" w:cs="宋体"/>
        </w:rPr>
        <w:t>的服务进行国内公开招标，现邀请合格投标人提交密封投标。</w:t>
      </w:r>
    </w:p>
    <w:p w14:paraId="18F8FED9">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rPr>
      </w:pPr>
      <w:r>
        <w:rPr>
          <w:rFonts w:hint="eastAsia" w:ascii="宋体" w:hAnsi="宋体" w:cs="宋体"/>
          <w:b/>
          <w:bCs/>
        </w:rPr>
        <w:t>一、项目编号</w:t>
      </w:r>
      <w:r>
        <w:rPr>
          <w:rFonts w:hint="eastAsia" w:ascii="宋体" w:hAnsi="宋体" w:cs="宋体"/>
        </w:rPr>
        <w:t>：</w:t>
      </w:r>
      <w:r>
        <w:rPr>
          <w:rFonts w:hint="eastAsia" w:ascii="宋体" w:hAnsi="宋体" w:eastAsia="宋体" w:cs="宋体"/>
          <w:b/>
          <w:bCs/>
          <w:i w:val="0"/>
          <w:iCs w:val="0"/>
          <w:caps w:val="0"/>
          <w:spacing w:val="0"/>
          <w:sz w:val="21"/>
          <w:szCs w:val="21"/>
          <w:shd w:val="clear"/>
        </w:rPr>
        <w:t>GXTC-C-26870047</w:t>
      </w:r>
    </w:p>
    <w:p w14:paraId="23559C6E">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b/>
          <w:bCs/>
        </w:rPr>
      </w:pPr>
      <w:r>
        <w:rPr>
          <w:rFonts w:hint="eastAsia" w:ascii="宋体" w:hAnsi="宋体" w:cs="宋体"/>
          <w:b/>
          <w:bCs/>
        </w:rPr>
        <w:t>二、项目名称：中国教育发展基金会-耐克活力校园课题共创计划</w:t>
      </w:r>
    </w:p>
    <w:p w14:paraId="7291E158">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Style w:val="5"/>
          <w:rFonts w:ascii="宋体" w:hAnsi="宋体" w:cs="宋体"/>
          <w:b/>
          <w:bCs/>
        </w:rPr>
      </w:pPr>
      <w:r>
        <w:rPr>
          <w:rFonts w:hint="eastAsia" w:ascii="宋体" w:hAnsi="宋体" w:cs="宋体"/>
          <w:b/>
          <w:bCs/>
        </w:rPr>
        <w:t>三、采购预算：2000000元</w:t>
      </w:r>
    </w:p>
    <w:p w14:paraId="265EFA62">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hint="eastAsia" w:ascii="宋体" w:hAnsi="宋体" w:cs="宋体"/>
          <w:b/>
          <w:bCs/>
        </w:rPr>
      </w:pPr>
      <w:r>
        <w:rPr>
          <w:rFonts w:hint="eastAsia" w:ascii="宋体" w:hAnsi="宋体" w:cs="宋体"/>
          <w:b/>
          <w:bCs/>
          <w:lang w:val="en-US" w:eastAsia="zh-CN"/>
        </w:rPr>
        <w:t>四、</w:t>
      </w:r>
      <w:r>
        <w:rPr>
          <w:rFonts w:hint="eastAsia" w:ascii="宋体" w:hAnsi="宋体" w:cs="宋体"/>
          <w:b/>
          <w:bCs/>
        </w:rPr>
        <w:t>最高限价：2000000元</w:t>
      </w:r>
    </w:p>
    <w:p w14:paraId="24B853F3">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b/>
          <w:bCs/>
        </w:rPr>
      </w:pPr>
      <w:r>
        <w:rPr>
          <w:rFonts w:hint="eastAsia" w:ascii="宋体" w:hAnsi="宋体" w:cs="宋体"/>
          <w:b/>
          <w:bCs/>
          <w:lang w:val="en-US" w:eastAsia="zh-CN"/>
        </w:rPr>
        <w:t>五</w:t>
      </w:r>
      <w:r>
        <w:rPr>
          <w:rFonts w:hint="eastAsia" w:ascii="宋体" w:hAnsi="宋体" w:cs="宋体"/>
          <w:b/>
          <w:bCs/>
        </w:rPr>
        <w:t>、招标内容</w:t>
      </w:r>
    </w:p>
    <w:p w14:paraId="4E795CA8">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1.本次招标共</w:t>
      </w:r>
      <w:r>
        <w:rPr>
          <w:rFonts w:hint="eastAsia" w:ascii="宋体" w:hAnsi="宋体" w:cs="宋体"/>
          <w:u w:val="single"/>
        </w:rPr>
        <w:t xml:space="preserve"> 1</w:t>
      </w:r>
      <w:r>
        <w:rPr>
          <w:rFonts w:hint="eastAsia" w:ascii="宋体" w:hAnsi="宋体" w:cs="宋体"/>
          <w:lang w:eastAsia="zh-CN"/>
        </w:rPr>
        <w:t>个采购</w:t>
      </w:r>
      <w:r>
        <w:rPr>
          <w:rFonts w:hint="eastAsia" w:ascii="宋体" w:hAnsi="宋体" w:cs="宋体"/>
        </w:rPr>
        <w:t>包：</w:t>
      </w:r>
    </w:p>
    <w:tbl>
      <w:tblPr>
        <w:tblStyle w:val="6"/>
        <w:tblW w:w="841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2160"/>
        <w:gridCol w:w="990"/>
        <w:gridCol w:w="2214"/>
        <w:gridCol w:w="2266"/>
      </w:tblGrid>
      <w:tr w14:paraId="2EF1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 w:type="dxa"/>
            <w:tcBorders>
              <w:top w:val="single" w:color="auto" w:sz="4" w:space="0"/>
              <w:left w:val="single" w:color="auto" w:sz="4" w:space="0"/>
              <w:bottom w:val="single" w:color="auto" w:sz="4" w:space="0"/>
              <w:right w:val="single" w:color="auto" w:sz="4" w:space="0"/>
            </w:tcBorders>
            <w:vAlign w:val="center"/>
          </w:tcPr>
          <w:p w14:paraId="20E46888">
            <w:pPr>
              <w:keepNext w:val="0"/>
              <w:keepLines w:val="0"/>
              <w:pageBreakBefore w:val="0"/>
              <w:widowControl/>
              <w:kinsoku/>
              <w:wordWrap/>
              <w:overflowPunct/>
              <w:topLinePunct w:val="0"/>
              <w:autoSpaceDE/>
              <w:autoSpaceDN/>
              <w:bidi w:val="0"/>
              <w:snapToGrid w:val="0"/>
              <w:spacing w:line="440" w:lineRule="exact"/>
              <w:jc w:val="center"/>
              <w:textAlignment w:val="auto"/>
              <w:rPr>
                <w:rFonts w:ascii="宋体" w:hAnsi="宋体" w:cs="宋体"/>
              </w:rPr>
            </w:pPr>
            <w:r>
              <w:rPr>
                <w:rFonts w:hint="eastAsia" w:ascii="宋体" w:hAnsi="宋体" w:cs="宋体"/>
              </w:rPr>
              <w:t>包号</w:t>
            </w:r>
          </w:p>
        </w:tc>
        <w:tc>
          <w:tcPr>
            <w:tcW w:w="2160" w:type="dxa"/>
            <w:tcBorders>
              <w:top w:val="single" w:color="auto" w:sz="4" w:space="0"/>
              <w:left w:val="single" w:color="auto" w:sz="4" w:space="0"/>
              <w:bottom w:val="single" w:color="auto" w:sz="4" w:space="0"/>
              <w:right w:val="single" w:color="auto" w:sz="4" w:space="0"/>
            </w:tcBorders>
            <w:vAlign w:val="center"/>
          </w:tcPr>
          <w:p w14:paraId="758AF887">
            <w:pPr>
              <w:keepNext w:val="0"/>
              <w:keepLines w:val="0"/>
              <w:pageBreakBefore w:val="0"/>
              <w:widowControl/>
              <w:kinsoku/>
              <w:wordWrap/>
              <w:overflowPunct/>
              <w:topLinePunct w:val="0"/>
              <w:autoSpaceDE/>
              <w:autoSpaceDN/>
              <w:bidi w:val="0"/>
              <w:snapToGrid w:val="0"/>
              <w:spacing w:line="440" w:lineRule="exact"/>
              <w:jc w:val="center"/>
              <w:textAlignment w:val="auto"/>
              <w:rPr>
                <w:rFonts w:ascii="宋体" w:hAnsi="宋体" w:cs="宋体"/>
              </w:rPr>
            </w:pPr>
            <w:r>
              <w:rPr>
                <w:rFonts w:hint="eastAsia" w:ascii="宋体" w:hAnsi="宋体" w:cs="宋体"/>
              </w:rPr>
              <w:t>名称</w:t>
            </w:r>
          </w:p>
        </w:tc>
        <w:tc>
          <w:tcPr>
            <w:tcW w:w="990" w:type="dxa"/>
            <w:tcBorders>
              <w:top w:val="single" w:color="auto" w:sz="4" w:space="0"/>
              <w:left w:val="single" w:color="auto" w:sz="4" w:space="0"/>
              <w:bottom w:val="single" w:color="auto" w:sz="4" w:space="0"/>
              <w:right w:val="single" w:color="auto" w:sz="4" w:space="0"/>
            </w:tcBorders>
            <w:vAlign w:val="center"/>
          </w:tcPr>
          <w:p w14:paraId="6F6D4C0D">
            <w:pPr>
              <w:keepNext w:val="0"/>
              <w:keepLines w:val="0"/>
              <w:pageBreakBefore w:val="0"/>
              <w:widowControl/>
              <w:kinsoku/>
              <w:wordWrap/>
              <w:overflowPunct/>
              <w:topLinePunct w:val="0"/>
              <w:autoSpaceDE/>
              <w:autoSpaceDN/>
              <w:bidi w:val="0"/>
              <w:snapToGrid w:val="0"/>
              <w:spacing w:line="440" w:lineRule="exact"/>
              <w:jc w:val="center"/>
              <w:textAlignment w:val="auto"/>
              <w:rPr>
                <w:rFonts w:ascii="宋体" w:hAnsi="宋体" w:cs="宋体"/>
              </w:rPr>
            </w:pPr>
            <w:r>
              <w:rPr>
                <w:rFonts w:hint="eastAsia" w:ascii="宋体" w:hAnsi="宋体" w:cs="宋体"/>
              </w:rPr>
              <w:t>数量</w:t>
            </w:r>
          </w:p>
        </w:tc>
        <w:tc>
          <w:tcPr>
            <w:tcW w:w="2214" w:type="dxa"/>
            <w:tcBorders>
              <w:top w:val="single" w:color="auto" w:sz="4" w:space="0"/>
              <w:left w:val="single" w:color="auto" w:sz="4" w:space="0"/>
              <w:bottom w:val="single" w:color="auto" w:sz="4" w:space="0"/>
              <w:right w:val="single" w:color="auto" w:sz="4" w:space="0"/>
            </w:tcBorders>
            <w:vAlign w:val="center"/>
          </w:tcPr>
          <w:p w14:paraId="4F0B760C">
            <w:pPr>
              <w:keepNext w:val="0"/>
              <w:keepLines w:val="0"/>
              <w:pageBreakBefore w:val="0"/>
              <w:widowControl/>
              <w:kinsoku/>
              <w:wordWrap/>
              <w:overflowPunct/>
              <w:topLinePunct w:val="0"/>
              <w:autoSpaceDE/>
              <w:autoSpaceDN/>
              <w:bidi w:val="0"/>
              <w:snapToGrid w:val="0"/>
              <w:spacing w:line="440" w:lineRule="exact"/>
              <w:jc w:val="center"/>
              <w:textAlignment w:val="auto"/>
              <w:rPr>
                <w:rFonts w:ascii="宋体" w:hAnsi="宋体" w:cs="宋体"/>
              </w:rPr>
            </w:pPr>
            <w:r>
              <w:rPr>
                <w:rFonts w:hint="eastAsia" w:ascii="宋体" w:hAnsi="宋体" w:cs="宋体"/>
              </w:rPr>
              <w:t>简要技术需求</w:t>
            </w:r>
          </w:p>
        </w:tc>
        <w:tc>
          <w:tcPr>
            <w:tcW w:w="2266" w:type="dxa"/>
            <w:tcBorders>
              <w:top w:val="single" w:color="auto" w:sz="4" w:space="0"/>
              <w:left w:val="single" w:color="auto" w:sz="4" w:space="0"/>
              <w:bottom w:val="single" w:color="auto" w:sz="4" w:space="0"/>
              <w:right w:val="single" w:color="auto" w:sz="4" w:space="0"/>
            </w:tcBorders>
            <w:vAlign w:val="center"/>
          </w:tcPr>
          <w:p w14:paraId="05BC96C9">
            <w:pPr>
              <w:keepNext w:val="0"/>
              <w:keepLines w:val="0"/>
              <w:pageBreakBefore w:val="0"/>
              <w:widowControl/>
              <w:kinsoku/>
              <w:wordWrap/>
              <w:overflowPunct/>
              <w:topLinePunct w:val="0"/>
              <w:autoSpaceDE/>
              <w:autoSpaceDN/>
              <w:bidi w:val="0"/>
              <w:snapToGrid w:val="0"/>
              <w:spacing w:line="440" w:lineRule="exact"/>
              <w:jc w:val="center"/>
              <w:textAlignment w:val="auto"/>
              <w:rPr>
                <w:rFonts w:ascii="宋体" w:hAnsi="宋体" w:cs="宋体"/>
              </w:rPr>
            </w:pPr>
            <w:r>
              <w:rPr>
                <w:rFonts w:hint="eastAsia" w:ascii="宋体" w:hAnsi="宋体" w:cs="宋体"/>
              </w:rPr>
              <w:t>合同履行期限</w:t>
            </w:r>
          </w:p>
        </w:tc>
      </w:tr>
      <w:tr w14:paraId="7AE80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trPr>
        <w:tc>
          <w:tcPr>
            <w:tcW w:w="785" w:type="dxa"/>
            <w:tcBorders>
              <w:top w:val="single" w:color="auto" w:sz="4" w:space="0"/>
              <w:left w:val="single" w:color="auto" w:sz="4" w:space="0"/>
              <w:bottom w:val="single" w:color="auto" w:sz="4" w:space="0"/>
              <w:right w:val="single" w:color="auto" w:sz="4" w:space="0"/>
            </w:tcBorders>
            <w:vAlign w:val="center"/>
          </w:tcPr>
          <w:p w14:paraId="79B594CC">
            <w:pPr>
              <w:keepNext w:val="0"/>
              <w:keepLines w:val="0"/>
              <w:pageBreakBefore w:val="0"/>
              <w:widowControl/>
              <w:kinsoku/>
              <w:wordWrap/>
              <w:overflowPunct/>
              <w:topLinePunct w:val="0"/>
              <w:autoSpaceDE/>
              <w:autoSpaceDN/>
              <w:bidi w:val="0"/>
              <w:snapToGrid w:val="0"/>
              <w:spacing w:line="440" w:lineRule="exact"/>
              <w:jc w:val="center"/>
              <w:textAlignment w:val="auto"/>
              <w:rPr>
                <w:rFonts w:ascii="宋体" w:hAnsi="宋体" w:cs="宋体"/>
              </w:rPr>
            </w:pPr>
            <w:r>
              <w:rPr>
                <w:rFonts w:hint="eastAsia" w:ascii="宋体" w:hAnsi="宋体" w:cs="宋体"/>
              </w:rPr>
              <w:t>1</w:t>
            </w:r>
          </w:p>
        </w:tc>
        <w:tc>
          <w:tcPr>
            <w:tcW w:w="2160" w:type="dxa"/>
            <w:tcBorders>
              <w:top w:val="single" w:color="auto" w:sz="4" w:space="0"/>
              <w:left w:val="single" w:color="auto" w:sz="4" w:space="0"/>
              <w:bottom w:val="single" w:color="auto" w:sz="4" w:space="0"/>
              <w:right w:val="single" w:color="auto" w:sz="4" w:space="0"/>
            </w:tcBorders>
            <w:vAlign w:val="center"/>
          </w:tcPr>
          <w:p w14:paraId="461A5AE2">
            <w:pPr>
              <w:keepNext w:val="0"/>
              <w:keepLines w:val="0"/>
              <w:pageBreakBefore w:val="0"/>
              <w:widowControl/>
              <w:kinsoku/>
              <w:wordWrap/>
              <w:overflowPunct/>
              <w:topLinePunct w:val="0"/>
              <w:autoSpaceDE/>
              <w:autoSpaceDN/>
              <w:bidi w:val="0"/>
              <w:snapToGrid w:val="0"/>
              <w:spacing w:line="440" w:lineRule="exact"/>
              <w:jc w:val="center"/>
              <w:textAlignment w:val="auto"/>
              <w:rPr>
                <w:rFonts w:ascii="宋体" w:hAnsi="宋体" w:cs="宋体"/>
              </w:rPr>
            </w:pPr>
            <w:r>
              <w:rPr>
                <w:rFonts w:hint="eastAsia" w:ascii="宋体" w:hAnsi="宋体" w:cs="宋体"/>
              </w:rPr>
              <w:t>中国教育发展基金会-耐克活力校园课题共创计划</w:t>
            </w:r>
          </w:p>
        </w:tc>
        <w:tc>
          <w:tcPr>
            <w:tcW w:w="990" w:type="dxa"/>
            <w:tcBorders>
              <w:top w:val="single" w:color="auto" w:sz="4" w:space="0"/>
              <w:left w:val="single" w:color="auto" w:sz="4" w:space="0"/>
              <w:bottom w:val="single" w:color="auto" w:sz="4" w:space="0"/>
              <w:right w:val="single" w:color="auto" w:sz="4" w:space="0"/>
            </w:tcBorders>
            <w:vAlign w:val="center"/>
          </w:tcPr>
          <w:p w14:paraId="7C1D64D8">
            <w:pPr>
              <w:keepNext w:val="0"/>
              <w:keepLines w:val="0"/>
              <w:pageBreakBefore w:val="0"/>
              <w:widowControl/>
              <w:kinsoku/>
              <w:wordWrap/>
              <w:overflowPunct/>
              <w:topLinePunct w:val="0"/>
              <w:autoSpaceDE/>
              <w:autoSpaceDN/>
              <w:bidi w:val="0"/>
              <w:snapToGrid w:val="0"/>
              <w:spacing w:line="440" w:lineRule="exact"/>
              <w:jc w:val="center"/>
              <w:textAlignment w:val="auto"/>
              <w:rPr>
                <w:rFonts w:ascii="宋体" w:hAnsi="宋体" w:cs="宋体"/>
              </w:rPr>
            </w:pPr>
            <w:r>
              <w:rPr>
                <w:rFonts w:hint="eastAsia" w:ascii="宋体" w:hAnsi="宋体" w:cs="宋体"/>
              </w:rPr>
              <w:t>1</w:t>
            </w:r>
          </w:p>
        </w:tc>
        <w:tc>
          <w:tcPr>
            <w:tcW w:w="2214" w:type="dxa"/>
            <w:tcBorders>
              <w:top w:val="single" w:color="auto" w:sz="4" w:space="0"/>
              <w:left w:val="single" w:color="auto" w:sz="4" w:space="0"/>
              <w:bottom w:val="single" w:color="auto" w:sz="4" w:space="0"/>
              <w:right w:val="single" w:color="auto" w:sz="4" w:space="0"/>
            </w:tcBorders>
            <w:vAlign w:val="center"/>
          </w:tcPr>
          <w:p w14:paraId="0EB29D05">
            <w:pPr>
              <w:keepNext w:val="0"/>
              <w:keepLines w:val="0"/>
              <w:pageBreakBefore w:val="0"/>
              <w:widowControl/>
              <w:kinsoku/>
              <w:wordWrap/>
              <w:overflowPunct/>
              <w:topLinePunct w:val="0"/>
              <w:autoSpaceDE/>
              <w:autoSpaceDN/>
              <w:bidi w:val="0"/>
              <w:snapToGrid w:val="0"/>
              <w:spacing w:line="440" w:lineRule="exact"/>
              <w:textAlignment w:val="auto"/>
              <w:rPr>
                <w:rFonts w:ascii="宋体" w:hAnsi="宋体" w:cs="宋体"/>
              </w:rPr>
            </w:pPr>
            <w:r>
              <w:rPr>
                <w:rFonts w:hint="eastAsia" w:ascii="宋体" w:hAnsi="宋体" w:cs="宋体"/>
              </w:rPr>
              <w:t>中国教育发展基金会-耐克活力校园课题共创计划，详见招标文件第三章《采购需求》</w:t>
            </w:r>
          </w:p>
        </w:tc>
        <w:tc>
          <w:tcPr>
            <w:tcW w:w="2266" w:type="dxa"/>
            <w:tcBorders>
              <w:top w:val="single" w:color="auto" w:sz="4" w:space="0"/>
              <w:left w:val="single" w:color="auto" w:sz="4" w:space="0"/>
              <w:bottom w:val="single" w:color="auto" w:sz="4" w:space="0"/>
              <w:right w:val="single" w:color="auto" w:sz="4" w:space="0"/>
            </w:tcBorders>
            <w:vAlign w:val="center"/>
          </w:tcPr>
          <w:p w14:paraId="753E87AE">
            <w:pPr>
              <w:keepNext w:val="0"/>
              <w:keepLines w:val="0"/>
              <w:pageBreakBefore w:val="0"/>
              <w:widowControl/>
              <w:kinsoku/>
              <w:wordWrap/>
              <w:overflowPunct/>
              <w:topLinePunct w:val="0"/>
              <w:autoSpaceDE/>
              <w:autoSpaceDN/>
              <w:bidi w:val="0"/>
              <w:snapToGrid w:val="0"/>
              <w:spacing w:line="440" w:lineRule="exact"/>
              <w:textAlignment w:val="auto"/>
              <w:rPr>
                <w:rFonts w:ascii="宋体" w:hAnsi="宋体" w:cs="宋体"/>
              </w:rPr>
            </w:pPr>
            <w:r>
              <w:rPr>
                <w:rFonts w:hint="eastAsia" w:ascii="宋体" w:hAnsi="宋体" w:cs="宋体"/>
              </w:rPr>
              <w:t>自合同签订之日起5个工作日内开始实施，执行完毕为止</w:t>
            </w:r>
          </w:p>
        </w:tc>
      </w:tr>
    </w:tbl>
    <w:p w14:paraId="326B624B">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hint="eastAsia" w:ascii="宋体" w:hAnsi="宋体" w:eastAsia="宋体" w:cs="宋体"/>
          <w:color w:val="auto"/>
          <w:kern w:val="0"/>
          <w:lang w:val="en-US"/>
        </w:rPr>
      </w:pPr>
      <w:r>
        <w:rPr>
          <w:rFonts w:hint="eastAsia" w:ascii="宋体" w:hAnsi="宋体" w:eastAsia="宋体" w:cs="宋体"/>
          <w:color w:val="auto"/>
          <w:kern w:val="0"/>
          <w:lang w:val="en-US"/>
        </w:rPr>
        <w:t>本次招标、投标、评标均以</w:t>
      </w:r>
      <w:r>
        <w:rPr>
          <w:rFonts w:hint="eastAsia" w:ascii="宋体" w:hAnsi="宋体" w:eastAsia="宋体" w:cs="宋体"/>
          <w:color w:val="auto"/>
          <w:kern w:val="0"/>
          <w:lang w:val="en-US" w:eastAsia="zh-CN"/>
        </w:rPr>
        <w:t>采购</w:t>
      </w:r>
      <w:r>
        <w:rPr>
          <w:rFonts w:hint="eastAsia" w:ascii="宋体" w:hAnsi="宋体" w:eastAsia="宋体" w:cs="宋体"/>
          <w:color w:val="auto"/>
          <w:kern w:val="0"/>
          <w:lang w:val="en-US"/>
        </w:rPr>
        <w:t>包</w:t>
      </w:r>
      <w:r>
        <w:rPr>
          <w:rFonts w:hint="eastAsia" w:ascii="宋体" w:hAnsi="宋体" w:eastAsia="宋体" w:cs="宋体"/>
          <w:color w:val="auto"/>
          <w:kern w:val="0"/>
          <w:lang w:val="en-US" w:eastAsia="zh-CN"/>
        </w:rPr>
        <w:t>（简称“包”）</w:t>
      </w:r>
      <w:r>
        <w:rPr>
          <w:rFonts w:hint="eastAsia" w:ascii="宋体" w:hAnsi="宋体" w:eastAsia="宋体" w:cs="宋体"/>
          <w:color w:val="auto"/>
          <w:kern w:val="0"/>
          <w:lang w:val="en-US"/>
        </w:rPr>
        <w:t>为单位，投标人须以包为单位进行投标，如有多包，可投一包或多包，但不得拆包，不完整的投标将被拒绝。</w:t>
      </w:r>
    </w:p>
    <w:p w14:paraId="7F4988AA">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2.招标内容及用途：</w:t>
      </w:r>
      <w:r>
        <w:rPr>
          <w:rFonts w:hint="eastAsia" w:ascii="宋体" w:hAnsi="宋体" w:eastAsia="宋体" w:cs="宋体"/>
          <w:color w:val="auto"/>
          <w:kern w:val="0"/>
          <w:u w:val="single"/>
          <w:lang w:val="en-US"/>
        </w:rPr>
        <w:t>为课题共创计划提供方案整体设计、规划及内容支持，项目运营及人员协调，项目传播及推广，专家管理及劳务等工作。</w:t>
      </w:r>
    </w:p>
    <w:p w14:paraId="430CDE83">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具体招标内容和要求，以本招标文件中商务、技术和服务的相应规定为准。</w:t>
      </w:r>
    </w:p>
    <w:p w14:paraId="5FC13210">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3.需要落实的政府采购政策：</w:t>
      </w:r>
    </w:p>
    <w:p w14:paraId="25733730">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hint="eastAsia" w:ascii="宋体" w:hAnsi="宋体" w:eastAsia="宋体" w:cs="宋体"/>
          <w:color w:val="auto"/>
          <w:lang w:val="en-US"/>
        </w:rPr>
      </w:pPr>
      <w:r>
        <w:rPr>
          <w:rFonts w:hint="eastAsia" w:ascii="宋体" w:hAnsi="宋体" w:eastAsia="宋体" w:cs="宋体"/>
          <w:color w:val="auto"/>
          <w:lang w:val="en-US" w:eastAsia="zh-CN"/>
        </w:rPr>
        <w:t>（1）</w:t>
      </w:r>
      <w:r>
        <w:rPr>
          <w:rFonts w:hint="eastAsia" w:ascii="宋体" w:hAnsi="宋体" w:eastAsia="宋体" w:cs="宋体"/>
          <w:color w:val="auto"/>
          <w:lang w:val="en-US"/>
        </w:rPr>
        <w:t>促进中小企业发展政策：</w:t>
      </w:r>
    </w:p>
    <w:p w14:paraId="11AA6DED">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rPr>
      </w:pPr>
      <w:r>
        <w:rPr>
          <w:rFonts w:hint="eastAsia" w:ascii="宋体" w:hAnsi="宋体" w:eastAsia="宋体" w:cs="宋体"/>
          <w:color w:val="auto"/>
        </w:rPr>
        <w:t>本次招标是否为预留份额专门面向中小企业采购的采购项目</w:t>
      </w:r>
      <w:r>
        <w:rPr>
          <w:rFonts w:hint="eastAsia" w:ascii="宋体" w:hAnsi="宋体" w:eastAsia="宋体" w:cs="宋体"/>
          <w:color w:val="auto"/>
          <w:lang w:eastAsia="zh-CN"/>
        </w:rPr>
        <w:t>：</w:t>
      </w:r>
      <w:r>
        <w:rPr>
          <w:rFonts w:hint="eastAsia" w:ascii="宋体" w:hAnsi="宋体" w:eastAsia="宋体" w:cs="宋体"/>
          <w:color w:val="auto"/>
          <w:u w:val="single"/>
          <w:lang w:val="en-US" w:eastAsia="zh-CN"/>
        </w:rPr>
        <w:t>否</w:t>
      </w:r>
    </w:p>
    <w:p w14:paraId="5247D5F8">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hint="eastAsia" w:ascii="宋体" w:hAnsi="宋体" w:eastAsia="宋体" w:cs="宋体"/>
          <w:color w:val="auto"/>
          <w:lang w:val="en-US"/>
        </w:rPr>
      </w:pPr>
      <w:r>
        <w:rPr>
          <w:rFonts w:hint="eastAsia" w:ascii="宋体" w:hAnsi="宋体" w:eastAsia="宋体" w:cs="宋体"/>
          <w:color w:val="auto"/>
        </w:rPr>
        <w:t>若本项目为未预留份额</w:t>
      </w:r>
      <w:r>
        <w:rPr>
          <w:rFonts w:hint="eastAsia" w:ascii="宋体" w:hAnsi="宋体" w:eastAsia="宋体" w:cs="宋体"/>
          <w:color w:val="auto"/>
          <w:lang w:eastAsia="zh-CN"/>
        </w:rPr>
        <w:t>、</w:t>
      </w:r>
      <w:r>
        <w:rPr>
          <w:rFonts w:hint="eastAsia" w:ascii="宋体" w:hAnsi="宋体" w:eastAsia="宋体" w:cs="宋体"/>
          <w:color w:val="auto"/>
        </w:rPr>
        <w:t>非专门面向中小企业采购的采购项目，以及预留份额项目中的非预留部分采购包的，</w:t>
      </w:r>
      <w:r>
        <w:rPr>
          <w:rFonts w:hint="eastAsia" w:ascii="宋体" w:hAnsi="宋体" w:eastAsia="宋体" w:cs="宋体"/>
          <w:color w:val="auto"/>
          <w:lang w:val="en-US"/>
        </w:rPr>
        <w:t>评审时小型和微型企业服务享受10%-20%的价格折扣。监狱企业和残疾人福利性单位视同小型、微型企业。若投标人为大中型企业与小微企业组成联合体或者大中型企业向一家或者多家小微企业分包的，联合协议或者分包意向协议约定，小微企业的合同份额占到合同总金额30%以上的，可给予该投标人4%-6%的价格扣除。本项目具体扣除价格百分比</w:t>
      </w:r>
      <w:r>
        <w:rPr>
          <w:rFonts w:hint="eastAsia" w:ascii="宋体" w:hAnsi="宋体" w:eastAsia="宋体" w:cs="宋体"/>
          <w:b w:val="0"/>
          <w:bCs w:val="0"/>
          <w:color w:val="auto"/>
          <w:lang w:val="en-US"/>
        </w:rPr>
        <w:t>详见</w:t>
      </w:r>
      <w:r>
        <w:rPr>
          <w:rFonts w:hint="eastAsia" w:ascii="宋体" w:hAnsi="宋体" w:eastAsia="宋体" w:cs="宋体"/>
          <w:b/>
          <w:bCs/>
          <w:color w:val="auto"/>
          <w:lang w:val="en-US"/>
        </w:rPr>
        <w:t>第四章评标方法和评标标准</w:t>
      </w:r>
      <w:r>
        <w:rPr>
          <w:rFonts w:hint="eastAsia" w:ascii="宋体" w:hAnsi="宋体" w:eastAsia="宋体" w:cs="宋体"/>
          <w:color w:val="auto"/>
          <w:lang w:val="en-US"/>
        </w:rPr>
        <w:t>。</w:t>
      </w:r>
    </w:p>
    <w:p w14:paraId="4DD8759F">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hint="eastAsia" w:ascii="宋体" w:hAnsi="宋体" w:cs="宋体"/>
          <w:b/>
          <w:bCs/>
          <w:lang w:val="en-US" w:eastAsia="zh-CN"/>
        </w:rPr>
      </w:pPr>
      <w:r>
        <w:rPr>
          <w:rFonts w:hint="eastAsia" w:ascii="宋体" w:hAnsi="宋体" w:eastAsia="宋体" w:cs="宋体"/>
          <w:color w:val="auto"/>
          <w:lang w:val="en-US" w:eastAsia="zh-CN"/>
        </w:rPr>
        <w:t>（2）对本国产品的支持政策：</w:t>
      </w:r>
      <w:r>
        <w:rPr>
          <w:rFonts w:hint="eastAsia" w:ascii="宋体" w:hAnsi="宋体" w:eastAsia="宋体" w:cs="宋体"/>
          <w:color w:val="auto"/>
        </w:rPr>
        <w:t>本次招标是否适用本国产品标准，详见</w:t>
      </w:r>
      <w:r>
        <w:rPr>
          <w:rFonts w:hint="eastAsia" w:ascii="宋体" w:hAnsi="宋体" w:eastAsia="宋体" w:cs="宋体"/>
          <w:b/>
          <w:bCs/>
          <w:color w:val="auto"/>
        </w:rPr>
        <w:t>投标人须知前附表。</w:t>
      </w:r>
    </w:p>
    <w:p w14:paraId="28E85FC4">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b/>
          <w:bCs/>
        </w:rPr>
      </w:pPr>
      <w:r>
        <w:rPr>
          <w:rFonts w:hint="eastAsia" w:ascii="宋体" w:hAnsi="宋体" w:cs="宋体"/>
          <w:b/>
          <w:bCs/>
          <w:lang w:val="en-US" w:eastAsia="zh-CN"/>
        </w:rPr>
        <w:t>六</w:t>
      </w:r>
      <w:r>
        <w:rPr>
          <w:rFonts w:hint="eastAsia" w:ascii="宋体" w:hAnsi="宋体" w:cs="宋体"/>
          <w:b/>
          <w:bCs/>
        </w:rPr>
        <w:t>、投标人的资格要求</w:t>
      </w:r>
    </w:p>
    <w:p w14:paraId="75AE9F6B">
      <w:pPr>
        <w:pStyle w:val="7"/>
        <w:keepNext w:val="0"/>
        <w:keepLines w:val="0"/>
        <w:pageBreakBefore w:val="0"/>
        <w:widowControl/>
        <w:kinsoku/>
        <w:wordWrap/>
        <w:overflowPunct/>
        <w:topLinePunct w:val="0"/>
        <w:autoSpaceDE/>
        <w:autoSpaceDN/>
        <w:bidi w:val="0"/>
        <w:adjustRightInd w:val="0"/>
        <w:snapToGrid w:val="0"/>
        <w:spacing w:before="0" w:after="0" w:line="440" w:lineRule="exact"/>
        <w:jc w:val="both"/>
        <w:textAlignment w:val="auto"/>
        <w:rPr>
          <w:rFonts w:hint="eastAsia" w:ascii="宋体" w:hAnsi="宋体" w:eastAsia="宋体" w:cs="宋体"/>
          <w:color w:val="auto"/>
        </w:rPr>
      </w:pPr>
      <w:r>
        <w:rPr>
          <w:rFonts w:hint="eastAsia" w:ascii="宋体" w:hAnsi="宋体" w:eastAsia="宋体" w:cs="宋体"/>
          <w:color w:val="auto"/>
        </w:rPr>
        <w:t>1.在中华人民共和国境内注册登记，</w:t>
      </w:r>
      <w:r>
        <w:rPr>
          <w:rFonts w:hint="eastAsia" w:ascii="宋体" w:hAnsi="宋体" w:eastAsia="宋体" w:cs="宋体"/>
          <w:color w:val="auto"/>
          <w:lang w:eastAsia="zh-CN"/>
        </w:rPr>
        <w:t>具</w:t>
      </w:r>
      <w:r>
        <w:rPr>
          <w:rFonts w:hint="eastAsia" w:ascii="宋体" w:hAnsi="宋体" w:eastAsia="宋体" w:cs="宋体"/>
          <w:color w:val="auto"/>
        </w:rPr>
        <w:t>有生产或供应能力的本国供应商，包括法人、</w:t>
      </w:r>
      <w:r>
        <w:rPr>
          <w:rFonts w:hint="eastAsia" w:ascii="宋体" w:hAnsi="宋体" w:eastAsia="宋体" w:cs="宋体"/>
          <w:color w:val="auto"/>
          <w:lang w:val="en-US"/>
        </w:rPr>
        <w:t>非法人</w:t>
      </w:r>
      <w:r>
        <w:rPr>
          <w:rFonts w:hint="eastAsia" w:ascii="宋体" w:hAnsi="宋体" w:eastAsia="宋体" w:cs="宋体"/>
          <w:color w:val="auto"/>
        </w:rPr>
        <w:t>组织和</w:t>
      </w:r>
      <w:r>
        <w:rPr>
          <w:rFonts w:hint="eastAsia" w:ascii="宋体" w:hAnsi="宋体" w:eastAsia="宋体" w:cs="宋体"/>
          <w:color w:val="auto"/>
          <w:lang w:val="en-US"/>
        </w:rPr>
        <w:t>自然</w:t>
      </w:r>
      <w:r>
        <w:rPr>
          <w:rFonts w:hint="eastAsia" w:ascii="宋体" w:hAnsi="宋体" w:eastAsia="宋体" w:cs="宋体"/>
          <w:color w:val="auto"/>
        </w:rPr>
        <w:t>人。</w:t>
      </w:r>
    </w:p>
    <w:p w14:paraId="4726B512">
      <w:pPr>
        <w:pStyle w:val="7"/>
        <w:keepNext w:val="0"/>
        <w:keepLines w:val="0"/>
        <w:pageBreakBefore w:val="0"/>
        <w:widowControl/>
        <w:kinsoku/>
        <w:wordWrap/>
        <w:overflowPunct/>
        <w:topLinePunct w:val="0"/>
        <w:autoSpaceDE/>
        <w:autoSpaceDN/>
        <w:bidi w:val="0"/>
        <w:adjustRightInd w:val="0"/>
        <w:snapToGrid w:val="0"/>
        <w:spacing w:before="0" w:after="0" w:line="440" w:lineRule="exact"/>
        <w:jc w:val="both"/>
        <w:textAlignment w:val="auto"/>
        <w:rPr>
          <w:rFonts w:ascii="宋体" w:hAnsi="宋体" w:eastAsia="宋体" w:cs="宋体"/>
          <w:color w:val="auto"/>
        </w:rPr>
      </w:pPr>
      <w:r>
        <w:rPr>
          <w:rFonts w:hint="eastAsia" w:ascii="宋体" w:hAnsi="宋体" w:eastAsia="宋体" w:cs="宋体"/>
          <w:color w:val="auto"/>
        </w:rPr>
        <w:t>2.投标人应遵守《中华人民共和国政府采购法》《中华人民共和国政府采购法实施条例》等法律法规，并符合本招标文件规定的条件。</w:t>
      </w:r>
    </w:p>
    <w:p w14:paraId="32FD4E47">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lang w:val="en-US"/>
        </w:rPr>
      </w:pPr>
      <w:r>
        <w:rPr>
          <w:rFonts w:hint="eastAsia" w:ascii="宋体" w:hAnsi="宋体" w:eastAsia="宋体" w:cs="宋体"/>
          <w:color w:val="auto"/>
          <w:lang w:val="en-US"/>
        </w:rPr>
        <w:t>（1）具有</w:t>
      </w:r>
      <w:r>
        <w:rPr>
          <w:rFonts w:hint="eastAsia" w:ascii="宋体" w:hAnsi="宋体" w:eastAsia="宋体" w:cs="宋体"/>
          <w:color w:val="auto"/>
          <w:kern w:val="0"/>
          <w:lang w:val="en-US"/>
        </w:rPr>
        <w:t>独立</w:t>
      </w:r>
      <w:r>
        <w:rPr>
          <w:rFonts w:hint="eastAsia" w:ascii="宋体" w:hAnsi="宋体" w:eastAsia="宋体" w:cs="宋体"/>
          <w:color w:val="auto"/>
          <w:lang w:val="en-US"/>
        </w:rPr>
        <w:t>承担民事责任的能力；</w:t>
      </w:r>
    </w:p>
    <w:p w14:paraId="3AB0D25C">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（2）具有良好的商业信誉和健全的财务会计制度；</w:t>
      </w:r>
    </w:p>
    <w:p w14:paraId="2C82E1B9">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（3）具有履行合同所必需的设备和专业技术能力；</w:t>
      </w:r>
    </w:p>
    <w:p w14:paraId="341A48EE">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（4）具有依法缴纳税收和社会保障资金的良好记录；</w:t>
      </w:r>
    </w:p>
    <w:p w14:paraId="6F6C9A51">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（5）参加此项采购活动前三年内，在经营活动中没有重大违法记录；</w:t>
      </w:r>
    </w:p>
    <w:p w14:paraId="3468F6AF">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（6）本项目投标截止期前被“信用中国”网站列入“失信被执行人”和“</w:t>
      </w:r>
      <w:bookmarkStart w:id="1" w:name="OLE_LINK8"/>
      <w:r>
        <w:rPr>
          <w:rFonts w:hint="eastAsia" w:ascii="宋体" w:hAnsi="宋体" w:eastAsia="宋体" w:cs="宋体"/>
          <w:color w:val="auto"/>
          <w:kern w:val="0"/>
          <w:lang w:val="en-US"/>
        </w:rPr>
        <w:t>重大税收违法失信主体</w:t>
      </w:r>
      <w:bookmarkEnd w:id="1"/>
      <w:r>
        <w:rPr>
          <w:rFonts w:hint="eastAsia" w:ascii="宋体" w:hAnsi="宋体" w:eastAsia="宋体" w:cs="宋体"/>
          <w:color w:val="auto"/>
          <w:kern w:val="0"/>
          <w:lang w:val="en-US"/>
        </w:rPr>
        <w:t>”的、被“中国政府采购网”网站列入“政府采购严重违法失信行为记录名单”（处罚期限尚未届满的），不得参与本项目的政府采购活动；</w:t>
      </w:r>
    </w:p>
    <w:p w14:paraId="39CC68B9">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（7）法律、行政法规规定的其他条件；</w:t>
      </w:r>
    </w:p>
    <w:p w14:paraId="71DA502E">
      <w:pPr>
        <w:pStyle w:val="7"/>
        <w:keepNext w:val="0"/>
        <w:keepLines w:val="0"/>
        <w:pageBreakBefore w:val="0"/>
        <w:widowControl/>
        <w:kinsoku/>
        <w:wordWrap/>
        <w:overflowPunct/>
        <w:topLinePunct w:val="0"/>
        <w:autoSpaceDE/>
        <w:autoSpaceDN/>
        <w:bidi w:val="0"/>
        <w:adjustRightInd w:val="0"/>
        <w:snapToGrid w:val="0"/>
        <w:spacing w:before="0" w:after="0" w:line="440" w:lineRule="exact"/>
        <w:textAlignment w:val="auto"/>
        <w:rPr>
          <w:rFonts w:ascii="宋体" w:hAnsi="宋体" w:eastAsia="宋体" w:cs="宋体"/>
          <w:color w:val="auto"/>
          <w:kern w:val="0"/>
          <w:lang w:val="en-US"/>
        </w:rPr>
      </w:pPr>
      <w:r>
        <w:rPr>
          <w:rFonts w:hint="eastAsia" w:ascii="宋体" w:hAnsi="宋体" w:eastAsia="宋体" w:cs="宋体"/>
          <w:color w:val="auto"/>
          <w:kern w:val="0"/>
          <w:lang w:val="en-US"/>
        </w:rPr>
        <w:t>（8）投标人按照招标公告的要求</w:t>
      </w:r>
      <w:r>
        <w:rPr>
          <w:rFonts w:hint="eastAsia" w:ascii="宋体" w:hAnsi="宋体" w:eastAsia="宋体" w:cs="宋体"/>
          <w:color w:val="auto"/>
          <w:kern w:val="0"/>
          <w:lang w:val="en-US" w:eastAsia="zh-CN"/>
        </w:rPr>
        <w:t>获取</w:t>
      </w:r>
      <w:r>
        <w:rPr>
          <w:rFonts w:hint="eastAsia" w:ascii="宋体" w:hAnsi="宋体" w:eastAsia="宋体" w:cs="宋体"/>
          <w:color w:val="auto"/>
          <w:kern w:val="0"/>
          <w:lang w:val="en-US"/>
        </w:rPr>
        <w:t>招标文件；</w:t>
      </w:r>
    </w:p>
    <w:p w14:paraId="238FEB3A">
      <w:pPr>
        <w:pStyle w:val="7"/>
        <w:keepNext w:val="0"/>
        <w:keepLines w:val="0"/>
        <w:pageBreakBefore w:val="0"/>
        <w:widowControl/>
        <w:kinsoku/>
        <w:wordWrap/>
        <w:overflowPunct/>
        <w:topLinePunct w:val="0"/>
        <w:autoSpaceDE/>
        <w:autoSpaceDN/>
        <w:bidi w:val="0"/>
        <w:adjustRightInd w:val="0"/>
        <w:snapToGrid w:val="0"/>
        <w:spacing w:before="0" w:after="0" w:line="440" w:lineRule="exact"/>
        <w:jc w:val="both"/>
        <w:textAlignment w:val="auto"/>
        <w:rPr>
          <w:rFonts w:ascii="宋体" w:hAnsi="宋体" w:eastAsia="宋体" w:cs="宋体"/>
          <w:color w:val="auto"/>
        </w:rPr>
      </w:pPr>
      <w:r>
        <w:rPr>
          <w:rFonts w:hint="eastAsia" w:ascii="宋体" w:hAnsi="宋体" w:eastAsia="宋体" w:cs="宋体"/>
          <w:color w:val="auto"/>
        </w:rPr>
        <w:t>3.本项目</w:t>
      </w:r>
      <w:r>
        <w:rPr>
          <w:rFonts w:hint="eastAsia" w:ascii="宋体" w:hAnsi="宋体" w:eastAsia="宋体" w:cs="宋体"/>
          <w:color w:val="auto"/>
          <w:u w:val="single"/>
        </w:rPr>
        <w:t>不接受</w:t>
      </w:r>
      <w:r>
        <w:rPr>
          <w:rFonts w:hint="eastAsia" w:ascii="宋体" w:hAnsi="宋体" w:eastAsia="宋体" w:cs="宋体"/>
          <w:color w:val="auto"/>
        </w:rPr>
        <w:t>联合体投标。</w:t>
      </w:r>
    </w:p>
    <w:p w14:paraId="633FD54D">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b/>
          <w:bCs/>
        </w:rPr>
      </w:pPr>
      <w:r>
        <w:rPr>
          <w:rFonts w:hint="eastAsia" w:ascii="宋体" w:hAnsi="宋体" w:cs="宋体"/>
          <w:b/>
          <w:bCs/>
          <w:lang w:val="en-US" w:eastAsia="zh-CN"/>
        </w:rPr>
        <w:t>七</w:t>
      </w:r>
      <w:r>
        <w:rPr>
          <w:rFonts w:hint="eastAsia" w:ascii="宋体" w:hAnsi="宋体" w:cs="宋体"/>
          <w:b/>
          <w:bCs/>
        </w:rPr>
        <w:t>、招标文件购买时间、地点和要求</w:t>
      </w:r>
    </w:p>
    <w:p w14:paraId="31A0F4B1">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1.获取时间：</w:t>
      </w:r>
      <w:r>
        <w:rPr>
          <w:rFonts w:hint="eastAsia" w:ascii="宋体" w:hAnsi="宋体" w:cs="宋体"/>
          <w:u w:val="single"/>
        </w:rPr>
        <w:t>自2026年</w:t>
      </w:r>
      <w:r>
        <w:rPr>
          <w:rFonts w:hint="eastAsia" w:ascii="宋体" w:hAnsi="宋体" w:cs="宋体"/>
          <w:u w:val="single"/>
          <w:lang w:val="en-US" w:eastAsia="zh-CN"/>
        </w:rPr>
        <w:t>9</w:t>
      </w:r>
      <w:r>
        <w:rPr>
          <w:rFonts w:hint="eastAsia" w:ascii="宋体" w:hAnsi="宋体" w:cs="宋体"/>
          <w:u w:val="single"/>
        </w:rPr>
        <w:t>月</w:t>
      </w:r>
      <w:r>
        <w:rPr>
          <w:rFonts w:hint="eastAsia" w:ascii="宋体" w:hAnsi="宋体" w:cs="宋体"/>
          <w:u w:val="single"/>
          <w:lang w:val="en-US" w:eastAsia="zh-CN"/>
        </w:rPr>
        <w:t>1</w:t>
      </w:r>
      <w:r>
        <w:rPr>
          <w:rFonts w:hint="eastAsia" w:ascii="宋体" w:hAnsi="宋体" w:cs="宋体"/>
          <w:u w:val="single"/>
        </w:rPr>
        <w:t>日起至2026 年</w:t>
      </w:r>
      <w:r>
        <w:rPr>
          <w:rFonts w:hint="eastAsia" w:ascii="宋体" w:hAnsi="宋体" w:cs="宋体"/>
          <w:u w:val="single"/>
          <w:lang w:val="en-US" w:eastAsia="zh-CN"/>
        </w:rPr>
        <w:t>9</w:t>
      </w:r>
      <w:r>
        <w:rPr>
          <w:rFonts w:hint="eastAsia" w:ascii="宋体" w:hAnsi="宋体" w:cs="宋体"/>
          <w:u w:val="single"/>
        </w:rPr>
        <w:t>月</w:t>
      </w:r>
      <w:r>
        <w:rPr>
          <w:rFonts w:hint="eastAsia" w:ascii="宋体" w:hAnsi="宋体" w:cs="宋体"/>
          <w:u w:val="single"/>
          <w:lang w:val="en-US" w:eastAsia="zh-CN"/>
        </w:rPr>
        <w:t>8</w:t>
      </w:r>
      <w:r>
        <w:rPr>
          <w:rFonts w:hint="eastAsia" w:ascii="宋体" w:hAnsi="宋体" w:cs="宋体"/>
          <w:u w:val="single"/>
        </w:rPr>
        <w:t>日</w:t>
      </w:r>
      <w:r>
        <w:rPr>
          <w:rFonts w:hint="eastAsia" w:ascii="宋体" w:hAnsi="宋体" w:cs="宋体"/>
        </w:rPr>
        <w:t>（上午9时至12时，下午13时至17时）。</w:t>
      </w:r>
    </w:p>
    <w:p w14:paraId="06D7E845">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2.获取地点：</w:t>
      </w:r>
      <w:r>
        <w:rPr>
          <w:rFonts w:hint="eastAsia" w:ascii="宋体" w:hAnsi="宋体" w:cs="宋体"/>
          <w:u w:val="single"/>
        </w:rPr>
        <w:t xml:space="preserve">北京市海淀区首体南路22号国兴大厦11层 </w:t>
      </w:r>
      <w:r>
        <w:rPr>
          <w:rFonts w:hint="eastAsia" w:ascii="宋体" w:hAnsi="宋体" w:cs="宋体"/>
        </w:rPr>
        <w:t xml:space="preserve">              </w:t>
      </w:r>
    </w:p>
    <w:p w14:paraId="23F65ADC">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3.招标文件售价：人民币</w:t>
      </w:r>
      <w:r>
        <w:rPr>
          <w:rFonts w:hint="eastAsia" w:ascii="宋体" w:hAnsi="宋体" w:cs="宋体"/>
          <w:u w:val="single"/>
        </w:rPr>
        <w:t>600</w:t>
      </w:r>
      <w:r>
        <w:rPr>
          <w:rFonts w:hint="eastAsia" w:ascii="宋体" w:hAnsi="宋体" w:cs="宋体"/>
        </w:rPr>
        <w:t>元/包，售后不退。</w:t>
      </w:r>
    </w:p>
    <w:p w14:paraId="4977AA72">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b/>
          <w:bCs/>
        </w:rPr>
      </w:pPr>
      <w:r>
        <w:rPr>
          <w:rFonts w:hint="eastAsia" w:ascii="宋体" w:hAnsi="宋体" w:cs="宋体"/>
          <w:b/>
          <w:bCs/>
          <w:lang w:val="en-US" w:eastAsia="zh-CN"/>
        </w:rPr>
        <w:t>八</w:t>
      </w:r>
      <w:r>
        <w:rPr>
          <w:rFonts w:hint="eastAsia" w:ascii="宋体" w:hAnsi="宋体" w:cs="宋体"/>
          <w:b/>
          <w:bCs/>
        </w:rPr>
        <w:t>、接受投标时间、投标截止时间及开标时间</w:t>
      </w:r>
    </w:p>
    <w:p w14:paraId="45E0C586">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lang w:val="en-US" w:eastAsia="zh-CN"/>
        </w:rPr>
        <w:t>1.</w:t>
      </w:r>
      <w:r>
        <w:rPr>
          <w:rFonts w:hint="eastAsia" w:ascii="宋体" w:hAnsi="宋体" w:cs="宋体"/>
        </w:rPr>
        <w:t>投标截止时间：</w:t>
      </w:r>
      <w:r>
        <w:rPr>
          <w:rFonts w:hint="eastAsia" w:ascii="宋体" w:hAnsi="宋体" w:cs="宋体"/>
          <w:u w:val="single"/>
        </w:rPr>
        <w:t>2026年</w:t>
      </w:r>
      <w:r>
        <w:rPr>
          <w:rFonts w:hint="eastAsia" w:ascii="宋体" w:hAnsi="宋体" w:cs="宋体"/>
          <w:u w:val="single"/>
          <w:lang w:val="en-US" w:eastAsia="zh-CN"/>
        </w:rPr>
        <w:t>9</w:t>
      </w:r>
      <w:r>
        <w:rPr>
          <w:rFonts w:hint="eastAsia" w:ascii="宋体" w:hAnsi="宋体" w:cs="宋体"/>
          <w:u w:val="single"/>
        </w:rPr>
        <w:t>月</w:t>
      </w:r>
      <w:r>
        <w:rPr>
          <w:rFonts w:hint="eastAsia" w:ascii="宋体" w:hAnsi="宋体" w:cs="宋体"/>
          <w:u w:val="single"/>
          <w:lang w:val="en-US" w:eastAsia="zh-CN"/>
        </w:rPr>
        <w:t>22</w:t>
      </w:r>
      <w:r>
        <w:rPr>
          <w:rFonts w:hint="eastAsia" w:ascii="宋体" w:hAnsi="宋体" w:cs="宋体"/>
          <w:u w:val="single"/>
        </w:rPr>
        <w:t>日</w:t>
      </w:r>
      <w:r>
        <w:rPr>
          <w:rFonts w:hint="eastAsia" w:ascii="宋体" w:hAnsi="宋体" w:cs="宋体"/>
          <w:u w:val="single"/>
          <w:lang w:val="en-US" w:eastAsia="zh-CN"/>
        </w:rPr>
        <w:t>13</w:t>
      </w:r>
      <w:r>
        <w:rPr>
          <w:rFonts w:hint="eastAsia" w:ascii="宋体" w:hAnsi="宋体" w:cs="宋体"/>
          <w:u w:val="single"/>
        </w:rPr>
        <w:t>时</w:t>
      </w:r>
      <w:r>
        <w:rPr>
          <w:rFonts w:hint="eastAsia" w:ascii="宋体" w:hAnsi="宋体" w:cs="宋体"/>
          <w:u w:val="single"/>
          <w:lang w:val="en-US" w:eastAsia="zh-CN"/>
        </w:rPr>
        <w:t>30</w:t>
      </w:r>
      <w:r>
        <w:rPr>
          <w:rFonts w:hint="eastAsia" w:ascii="宋体" w:hAnsi="宋体" w:cs="宋体"/>
          <w:u w:val="single"/>
        </w:rPr>
        <w:t>分（北京时间）</w:t>
      </w:r>
    </w:p>
    <w:p w14:paraId="5B0682AA">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hint="eastAsia" w:ascii="宋体" w:hAnsi="宋体" w:cs="宋体"/>
        </w:rPr>
      </w:pPr>
      <w:r>
        <w:rPr>
          <w:rFonts w:hint="eastAsia" w:ascii="宋体" w:hAnsi="宋体" w:cs="宋体"/>
          <w:lang w:val="en-US" w:eastAsia="zh-CN"/>
        </w:rPr>
        <w:t>2.</w:t>
      </w:r>
      <w:r>
        <w:rPr>
          <w:rFonts w:hint="eastAsia" w:ascii="宋体" w:hAnsi="宋体" w:cs="宋体"/>
        </w:rPr>
        <w:t>投标截止时间后送达的投标文件将被拒收，在规定时间内所提交的</w:t>
      </w:r>
      <w:r>
        <w:rPr>
          <w:rFonts w:hint="eastAsia" w:ascii="宋体" w:hAnsi="宋体" w:cs="宋体"/>
          <w:lang w:eastAsia="zh-CN"/>
        </w:rPr>
        <w:t>投标</w:t>
      </w:r>
      <w:r>
        <w:rPr>
          <w:rFonts w:hint="eastAsia" w:ascii="宋体" w:hAnsi="宋体" w:cs="宋体"/>
        </w:rPr>
        <w:t>文件未按照招标文件要求密封的也将被拒收。</w:t>
      </w:r>
    </w:p>
    <w:p w14:paraId="23CF9D8F">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lang w:val="en-US" w:eastAsia="zh-CN"/>
        </w:rPr>
        <w:t>3.</w:t>
      </w:r>
      <w:r>
        <w:rPr>
          <w:rFonts w:hint="eastAsia" w:ascii="宋体" w:hAnsi="宋体" w:cs="宋体"/>
        </w:rPr>
        <w:t>开标时间：</w:t>
      </w:r>
      <w:r>
        <w:rPr>
          <w:rFonts w:hint="eastAsia" w:ascii="宋体" w:hAnsi="宋体" w:cs="宋体"/>
          <w:u w:val="single"/>
        </w:rPr>
        <w:t>2026年</w:t>
      </w:r>
      <w:r>
        <w:rPr>
          <w:rFonts w:hint="eastAsia" w:ascii="宋体" w:hAnsi="宋体" w:cs="宋体"/>
          <w:u w:val="single"/>
          <w:lang w:val="en-US" w:eastAsia="zh-CN"/>
        </w:rPr>
        <w:t>9</w:t>
      </w:r>
      <w:r>
        <w:rPr>
          <w:rFonts w:hint="eastAsia" w:ascii="宋体" w:hAnsi="宋体" w:cs="宋体"/>
          <w:u w:val="single"/>
        </w:rPr>
        <w:t>月</w:t>
      </w:r>
      <w:r>
        <w:rPr>
          <w:rFonts w:hint="eastAsia" w:ascii="宋体" w:hAnsi="宋体" w:cs="宋体"/>
          <w:u w:val="single"/>
          <w:lang w:val="en-US" w:eastAsia="zh-CN"/>
        </w:rPr>
        <w:t>22</w:t>
      </w:r>
      <w:r>
        <w:rPr>
          <w:rFonts w:hint="eastAsia" w:ascii="宋体" w:hAnsi="宋体" w:cs="宋体"/>
          <w:u w:val="single"/>
        </w:rPr>
        <w:t>日</w:t>
      </w:r>
      <w:r>
        <w:rPr>
          <w:rFonts w:hint="eastAsia" w:ascii="宋体" w:hAnsi="宋体" w:cs="宋体"/>
          <w:u w:val="single"/>
          <w:lang w:val="en-US" w:eastAsia="zh-CN"/>
        </w:rPr>
        <w:t>13</w:t>
      </w:r>
      <w:r>
        <w:rPr>
          <w:rFonts w:hint="eastAsia" w:ascii="宋体" w:hAnsi="宋体" w:cs="宋体"/>
          <w:u w:val="single"/>
        </w:rPr>
        <w:t>时</w:t>
      </w:r>
      <w:r>
        <w:rPr>
          <w:rFonts w:hint="eastAsia" w:ascii="宋体" w:hAnsi="宋体" w:cs="宋体"/>
          <w:u w:val="single"/>
          <w:lang w:val="en-US" w:eastAsia="zh-CN"/>
        </w:rPr>
        <w:t>30</w:t>
      </w:r>
      <w:r>
        <w:rPr>
          <w:rFonts w:hint="eastAsia" w:ascii="宋体" w:hAnsi="宋体" w:cs="宋体"/>
          <w:u w:val="single"/>
        </w:rPr>
        <w:t>分（北京时间）</w:t>
      </w:r>
    </w:p>
    <w:p w14:paraId="6EDC3CB4">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b/>
          <w:bCs/>
        </w:rPr>
      </w:pPr>
      <w:r>
        <w:rPr>
          <w:rFonts w:hint="eastAsia" w:ascii="宋体" w:hAnsi="宋体" w:cs="宋体"/>
          <w:b/>
          <w:bCs/>
          <w:lang w:val="en-US" w:eastAsia="zh-CN"/>
        </w:rPr>
        <w:t>九</w:t>
      </w:r>
      <w:r>
        <w:rPr>
          <w:rFonts w:hint="eastAsia" w:ascii="宋体" w:hAnsi="宋体" w:cs="宋体"/>
          <w:b/>
          <w:bCs/>
        </w:rPr>
        <w:t>、投标地点及开标地点</w:t>
      </w:r>
    </w:p>
    <w:p w14:paraId="1211C9B8">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bCs/>
        </w:rPr>
      </w:pPr>
      <w:r>
        <w:rPr>
          <w:rFonts w:hint="eastAsia" w:ascii="宋体" w:hAnsi="宋体" w:cs="宋体"/>
          <w:bCs/>
          <w:lang w:val="en-US" w:eastAsia="zh-CN"/>
        </w:rPr>
        <w:t>1.</w:t>
      </w:r>
      <w:r>
        <w:rPr>
          <w:rFonts w:hint="eastAsia" w:ascii="宋体" w:hAnsi="宋体" w:cs="宋体"/>
          <w:bCs/>
        </w:rPr>
        <w:t>投标地点：</w:t>
      </w:r>
      <w:r>
        <w:rPr>
          <w:rFonts w:hint="eastAsia" w:ascii="宋体" w:hAnsi="宋体" w:cs="宋体"/>
          <w:u w:val="single"/>
        </w:rPr>
        <w:t>北京市海淀区首体南路22号国兴大厦11层第</w:t>
      </w:r>
      <w:r>
        <w:rPr>
          <w:rFonts w:hint="eastAsia" w:ascii="宋体" w:hAnsi="宋体" w:cs="宋体"/>
          <w:u w:val="single"/>
          <w:lang w:val="en-US" w:eastAsia="zh-CN"/>
        </w:rPr>
        <w:t>1</w:t>
      </w:r>
      <w:r>
        <w:rPr>
          <w:rFonts w:hint="eastAsia" w:ascii="宋体" w:hAnsi="宋体" w:cs="宋体"/>
          <w:u w:val="single"/>
        </w:rPr>
        <w:t>会议室</w:t>
      </w:r>
    </w:p>
    <w:p w14:paraId="4F7442ED">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bCs/>
          <w:lang w:val="en-US" w:eastAsia="zh-CN"/>
        </w:rPr>
        <w:t>2.</w:t>
      </w:r>
      <w:r>
        <w:rPr>
          <w:rFonts w:hint="eastAsia" w:ascii="宋体" w:hAnsi="宋体" w:cs="宋体"/>
          <w:bCs/>
        </w:rPr>
        <w:t>开标地点：</w:t>
      </w:r>
      <w:r>
        <w:rPr>
          <w:rFonts w:hint="eastAsia" w:ascii="宋体" w:hAnsi="宋体" w:cs="宋体"/>
          <w:u w:val="single"/>
        </w:rPr>
        <w:t>北京市海淀区首体南路22号国兴大厦11层第</w:t>
      </w:r>
      <w:r>
        <w:rPr>
          <w:rFonts w:hint="eastAsia" w:ascii="宋体" w:hAnsi="宋体" w:cs="宋体"/>
          <w:u w:val="single"/>
          <w:lang w:val="en-US" w:eastAsia="zh-CN"/>
        </w:rPr>
        <w:t>1</w:t>
      </w:r>
      <w:r>
        <w:rPr>
          <w:rFonts w:hint="eastAsia" w:ascii="宋体" w:hAnsi="宋体" w:cs="宋体"/>
          <w:u w:val="single"/>
        </w:rPr>
        <w:t>会议室</w:t>
      </w:r>
    </w:p>
    <w:p w14:paraId="3A3868F2">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lang w:val="en-US" w:eastAsia="zh-CN"/>
        </w:rPr>
        <w:t>3.</w:t>
      </w:r>
      <w:r>
        <w:rPr>
          <w:rFonts w:hint="eastAsia" w:ascii="宋体" w:hAnsi="宋体" w:cs="宋体"/>
        </w:rPr>
        <w:t>届时请投标人的法定代表人或其授权的投标人代表出席开标仪式。</w:t>
      </w:r>
    </w:p>
    <w:p w14:paraId="211EE681">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b/>
          <w:bCs/>
        </w:rPr>
      </w:pPr>
      <w:r>
        <w:rPr>
          <w:rFonts w:hint="eastAsia" w:ascii="宋体" w:hAnsi="宋体" w:cs="宋体"/>
          <w:b/>
          <w:bCs/>
          <w:lang w:val="en-US" w:eastAsia="zh-CN"/>
        </w:rPr>
        <w:t>十</w:t>
      </w:r>
      <w:r>
        <w:rPr>
          <w:rFonts w:hint="eastAsia" w:ascii="宋体" w:hAnsi="宋体" w:cs="宋体"/>
          <w:b/>
          <w:bCs/>
        </w:rPr>
        <w:t>、采购人、采购代理机构信息</w:t>
      </w:r>
    </w:p>
    <w:p w14:paraId="397DAD7E">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1.采购人信息</w:t>
      </w:r>
    </w:p>
    <w:p w14:paraId="25759151">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（1）采购人名称：全国学生资助管理中心</w:t>
      </w:r>
    </w:p>
    <w:p w14:paraId="2A54A266">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（2）采购人地址：北京市海淀区西直门北大街32号枫蓝国际中心写字楼B座1634</w:t>
      </w:r>
    </w:p>
    <w:p w14:paraId="0BE6F1F5">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（3）联系人：李宁</w:t>
      </w:r>
    </w:p>
    <w:p w14:paraId="424E9B6F">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（4）联系电话：010-66093019</w:t>
      </w:r>
    </w:p>
    <w:p w14:paraId="37EDFDAF">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2.采购代理机构信息</w:t>
      </w:r>
    </w:p>
    <w:p w14:paraId="4056C641">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（1）采购代理机构名称：国信招标集团股份有限公司</w:t>
      </w:r>
    </w:p>
    <w:p w14:paraId="5C008C0B">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（2）采购代理机构地址：北京市海淀区首体南路22号国兴大厦11层</w:t>
      </w:r>
    </w:p>
    <w:p w14:paraId="1C09796F">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（3）邮政编码：100044</w:t>
      </w:r>
    </w:p>
    <w:p w14:paraId="32845F55">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（4）联系人：张静、张文雪、张薇、马晓晴</w:t>
      </w:r>
    </w:p>
    <w:p w14:paraId="1B4A08B6">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（5）联系电话：010-88354433-221</w:t>
      </w:r>
    </w:p>
    <w:p w14:paraId="023CF6E0">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（6）邮箱：m13720096151@163.com</w:t>
      </w:r>
    </w:p>
    <w:p w14:paraId="5B304416">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Style w:val="5"/>
          <w:rFonts w:ascii="宋体" w:hAnsi="宋体" w:cs="宋体"/>
          <w:b/>
          <w:bCs/>
        </w:rPr>
      </w:pPr>
      <w:r>
        <w:rPr>
          <w:rStyle w:val="5"/>
          <w:rFonts w:hint="eastAsia" w:ascii="宋体" w:hAnsi="宋体" w:cs="宋体"/>
          <w:b/>
          <w:bCs/>
        </w:rPr>
        <w:t>3.最终用户信息</w:t>
      </w:r>
    </w:p>
    <w:p w14:paraId="014A5536">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（1）采购人名称：中国教育发展基金会</w:t>
      </w:r>
      <w:bookmarkStart w:id="2" w:name="_GoBack"/>
      <w:bookmarkEnd w:id="2"/>
    </w:p>
    <w:p w14:paraId="46303D13">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（2）采购人地址：北京市西城区大木仓胡同35号</w:t>
      </w:r>
    </w:p>
    <w:p w14:paraId="5FD5846A">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（3）联系人：汤璐</w:t>
      </w:r>
    </w:p>
    <w:p w14:paraId="7F4CF489">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（4）联系电话：010-66096501</w:t>
      </w:r>
    </w:p>
    <w:p w14:paraId="764A010B">
      <w:pPr>
        <w:keepNext w:val="0"/>
        <w:keepLines w:val="0"/>
        <w:pageBreakBefore w:val="0"/>
        <w:widowControl/>
        <w:kinsoku/>
        <w:wordWrap/>
        <w:overflowPunct/>
        <w:topLinePunct w:val="0"/>
        <w:autoSpaceDE/>
        <w:autoSpaceDN/>
        <w:bidi w:val="0"/>
        <w:snapToGrid w:val="0"/>
        <w:spacing w:line="440" w:lineRule="exact"/>
        <w:ind w:firstLine="422" w:firstLineChars="200"/>
        <w:textAlignment w:val="auto"/>
        <w:rPr>
          <w:rFonts w:ascii="宋体" w:hAnsi="宋体" w:cs="宋体"/>
          <w:b/>
          <w:bCs/>
        </w:rPr>
      </w:pPr>
      <w:r>
        <w:rPr>
          <w:rFonts w:hint="eastAsia" w:ascii="宋体" w:hAnsi="宋体" w:cs="宋体"/>
          <w:b/>
          <w:bCs/>
        </w:rPr>
        <w:t>十、公告发布和期限</w:t>
      </w:r>
    </w:p>
    <w:p w14:paraId="1016F2DE">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1.本项目相关信息公告均在“中国政府采购网”媒体上发布。</w:t>
      </w:r>
    </w:p>
    <w:p w14:paraId="5B6FE977">
      <w:pPr>
        <w:keepNext w:val="0"/>
        <w:keepLines w:val="0"/>
        <w:pageBreakBefore w:val="0"/>
        <w:widowControl/>
        <w:kinsoku/>
        <w:wordWrap/>
        <w:overflowPunct/>
        <w:topLinePunct w:val="0"/>
        <w:autoSpaceDE/>
        <w:autoSpaceDN/>
        <w:bidi w:val="0"/>
        <w:snapToGrid w:val="0"/>
        <w:spacing w:line="440" w:lineRule="exact"/>
        <w:ind w:firstLine="420" w:firstLineChars="200"/>
        <w:textAlignment w:val="auto"/>
        <w:rPr>
          <w:rFonts w:ascii="宋体" w:hAnsi="宋体" w:cs="宋体"/>
        </w:rPr>
      </w:pPr>
      <w:r>
        <w:rPr>
          <w:rFonts w:hint="eastAsia" w:ascii="宋体" w:hAnsi="宋体" w:cs="宋体"/>
        </w:rPr>
        <w:t>2.本项目招标公告期限为5个工作日。</w:t>
      </w:r>
    </w:p>
    <w:p w14:paraId="69B14CFF">
      <w:pPr>
        <w:keepNext w:val="0"/>
        <w:keepLines w:val="0"/>
        <w:pageBreakBefore w:val="0"/>
        <w:widowControl/>
        <w:kinsoku/>
        <w:wordWrap/>
        <w:overflowPunct/>
        <w:topLinePunct w:val="0"/>
        <w:autoSpaceDE/>
        <w:autoSpaceDN/>
        <w:bidi w:val="0"/>
        <w:spacing w:line="440" w:lineRule="exact"/>
        <w:ind w:firstLine="420" w:firstLineChars="200"/>
        <w:textAlignment w:val="auto"/>
      </w:pPr>
      <w:r>
        <w:rPr>
          <w:rFonts w:hint="eastAsia" w:ascii="宋体" w:hAnsi="宋体" w:cs="宋体"/>
        </w:rPr>
        <w:t>3.本项目中标公告期限为1个工作日。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4D6DAD"/>
    <w:rsid w:val="104D6DAD"/>
    <w:rsid w:val="79A134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Times New Roman" w:hAnsi="Times New Roman" w:eastAsia="宋体" w:cs="Times New Roman"/>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next w:val="1"/>
    <w:semiHidden/>
    <w:unhideWhenUsed/>
    <w:qFormat/>
    <w:uiPriority w:val="99"/>
    <w:pPr>
      <w:widowControl w:val="0"/>
      <w:autoSpaceDE w:val="0"/>
      <w:autoSpaceDN w:val="0"/>
      <w:adjustRightInd w:val="0"/>
      <w:ind w:firstLine="420"/>
      <w:jc w:val="left"/>
    </w:pPr>
    <w:rPr>
      <w:rFonts w:ascii="宋体" w:hAnsi="Calibri"/>
      <w:sz w:val="24"/>
      <w:szCs w:val="20"/>
    </w:rPr>
  </w:style>
  <w:style w:type="character" w:styleId="5">
    <w:name w:val="annotation reference"/>
    <w:semiHidden/>
    <w:unhideWhenUsed/>
    <w:qFormat/>
    <w:uiPriority w:val="99"/>
    <w:rPr>
      <w:rFonts w:hint="default" w:ascii="Times New Roman" w:hAnsi="Times New Roman" w:cs="Times New Roman"/>
      <w:sz w:val="21"/>
    </w:rPr>
  </w:style>
  <w:style w:type="table" w:customStyle="1" w:styleId="6">
    <w:name w:val="普通表格1"/>
    <w:semiHidden/>
    <w:qFormat/>
    <w:uiPriority w:val="99"/>
    <w:tblPr>
      <w:tblCellMar>
        <w:top w:w="0" w:type="dxa"/>
        <w:left w:w="108" w:type="dxa"/>
        <w:bottom w:w="0" w:type="dxa"/>
        <w:right w:w="108" w:type="dxa"/>
      </w:tblCellMar>
    </w:tblPr>
  </w:style>
  <w:style w:type="paragraph" w:customStyle="1" w:styleId="7">
    <w:name w:val="列出段落11"/>
    <w:basedOn w:val="1"/>
    <w:qFormat/>
    <w:uiPriority w:val="0"/>
    <w:pPr>
      <w:spacing w:before="40" w:after="160"/>
      <w:ind w:firstLine="420" w:firstLineChars="200"/>
      <w:jc w:val="left"/>
    </w:pPr>
    <w:rPr>
      <w:rFonts w:ascii="Cambria" w:hAnsi="Cambria" w:eastAsia="微软雅黑" w:cs="Cambria"/>
      <w:color w:val="565656"/>
      <w:kern w:val="20"/>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2026-08-31T08:37:00Z</dcterms:created>
  <dc:creator>张静</dc:creator>
  <cp:lastModifiedBy>张静</cp:lastModifiedBy>
  <dcterms:modified xsi:type="dcterms:W3CDTF">2026-08-31T08:50:10Z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210FCB70EDF747AFA8EE1878D97F4791_11</vt:lpwstr>
  </property>
</Properties>
</file>